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C21F" w14:textId="77777777" w:rsidR="00DE442D" w:rsidRDefault="00DE442D" w:rsidP="00AC7802">
      <w:pPr>
        <w:rPr>
          <w:b/>
          <w:bCs/>
          <w:i/>
          <w:iCs/>
          <w:u w:val="single"/>
        </w:rPr>
      </w:pPr>
    </w:p>
    <w:p w14:paraId="78029389" w14:textId="1D8F6591" w:rsidR="00AC7802" w:rsidRPr="004E3A88" w:rsidRDefault="00AC7802" w:rsidP="004E3A88">
      <w:pPr>
        <w:spacing w:line="480" w:lineRule="auto"/>
        <w:rPr>
          <w:b/>
          <w:bCs/>
        </w:rPr>
      </w:pPr>
      <w:r w:rsidRPr="004E3A88">
        <w:rPr>
          <w:b/>
          <w:bCs/>
        </w:rPr>
        <w:t xml:space="preserve">Title: </w:t>
      </w:r>
      <w:r w:rsidR="009D260F" w:rsidRPr="00AC7802">
        <w:t>How Registries Can Facilitate Holistic Value Assessments</w:t>
      </w:r>
      <w:r w:rsidR="00E53EFC">
        <w:t xml:space="preserve"> of New Therapies in Alzheimer’s Disease</w:t>
      </w:r>
    </w:p>
    <w:p w14:paraId="772C5B41" w14:textId="77777777" w:rsidR="004E3A88" w:rsidRDefault="004E3A88" w:rsidP="004E3A88">
      <w:pPr>
        <w:spacing w:line="480" w:lineRule="auto"/>
      </w:pPr>
    </w:p>
    <w:p w14:paraId="605192B1" w14:textId="77777777" w:rsidR="004E3A88" w:rsidRPr="008A33E1" w:rsidRDefault="004E3A88" w:rsidP="004E3A88">
      <w:pPr>
        <w:spacing w:line="480" w:lineRule="auto"/>
        <w:rPr>
          <w:b/>
          <w:bCs/>
        </w:rPr>
      </w:pPr>
      <w:r w:rsidRPr="008A33E1">
        <w:rPr>
          <w:b/>
          <w:bCs/>
        </w:rPr>
        <w:t>Authors:</w:t>
      </w:r>
    </w:p>
    <w:p w14:paraId="71F2BD8F" w14:textId="5A17DBA1" w:rsidR="004071FB" w:rsidRPr="009D260F" w:rsidRDefault="004071FB" w:rsidP="004E3A88">
      <w:pPr>
        <w:spacing w:line="480" w:lineRule="auto"/>
      </w:pPr>
      <w:r w:rsidRPr="009D260F">
        <w:t>Samantha Benham-</w:t>
      </w:r>
      <w:proofErr w:type="spellStart"/>
      <w:r w:rsidRPr="009D260F">
        <w:t>Hermetz</w:t>
      </w:r>
      <w:proofErr w:type="spellEnd"/>
      <w:r w:rsidRPr="009D260F">
        <w:t xml:space="preserve"> –</w:t>
      </w:r>
      <w:r>
        <w:t xml:space="preserve"> </w:t>
      </w:r>
      <w:r w:rsidRPr="009D260F">
        <w:t>Alzheimer’s Research UK</w:t>
      </w:r>
    </w:p>
    <w:p w14:paraId="085F1223" w14:textId="52A0177F" w:rsidR="004071FB" w:rsidRPr="009D260F" w:rsidRDefault="004071FB" w:rsidP="004E3A88">
      <w:pPr>
        <w:spacing w:line="480" w:lineRule="auto"/>
      </w:pPr>
      <w:r w:rsidRPr="009D260F">
        <w:t>Anders Gustavsson –</w:t>
      </w:r>
      <w:r>
        <w:t xml:space="preserve"> </w:t>
      </w:r>
      <w:r w:rsidRPr="009D260F">
        <w:t>Quantify Research</w:t>
      </w:r>
    </w:p>
    <w:p w14:paraId="42476D81" w14:textId="62B246DD" w:rsidR="004071FB" w:rsidRPr="009D260F" w:rsidRDefault="004071FB" w:rsidP="004E3A88">
      <w:pPr>
        <w:spacing w:line="480" w:lineRule="auto"/>
      </w:pPr>
      <w:r w:rsidRPr="009D260F">
        <w:t xml:space="preserve">Alessandro </w:t>
      </w:r>
      <w:proofErr w:type="spellStart"/>
      <w:r w:rsidRPr="009D260F">
        <w:t>Padovani</w:t>
      </w:r>
      <w:proofErr w:type="spellEnd"/>
      <w:r w:rsidRPr="009D260F">
        <w:t xml:space="preserve"> –</w:t>
      </w:r>
      <w:r>
        <w:t xml:space="preserve"> </w:t>
      </w:r>
      <w:r w:rsidRPr="009D260F">
        <w:t>University of Brescia</w:t>
      </w:r>
    </w:p>
    <w:p w14:paraId="4940CED2" w14:textId="279F98BB" w:rsidR="004071FB" w:rsidRDefault="004071FB" w:rsidP="004E3A88">
      <w:pPr>
        <w:spacing w:line="480" w:lineRule="auto"/>
      </w:pPr>
      <w:r w:rsidRPr="009D260F">
        <w:t>Paola Barbarino –</w:t>
      </w:r>
      <w:r>
        <w:t xml:space="preserve"> </w:t>
      </w:r>
      <w:r w:rsidRPr="009D260F">
        <w:t>Alzheimer’s Disease International</w:t>
      </w:r>
    </w:p>
    <w:p w14:paraId="30B31753" w14:textId="4F49F767" w:rsidR="004071FB" w:rsidRDefault="004071FB" w:rsidP="004E3A88">
      <w:pPr>
        <w:spacing w:line="480" w:lineRule="auto"/>
      </w:pPr>
      <w:r w:rsidRPr="004071FB">
        <w:t>Lydia Lanman</w:t>
      </w:r>
      <w:r>
        <w:t xml:space="preserve"> </w:t>
      </w:r>
      <w:r w:rsidRPr="009D260F">
        <w:t>–</w:t>
      </w:r>
      <w:r>
        <w:t xml:space="preserve"> </w:t>
      </w:r>
      <w:r w:rsidRPr="004071FB">
        <w:t>F. Hoffmann-La Roche</w:t>
      </w:r>
      <w:r w:rsidR="00E53EFC">
        <w:t xml:space="preserve"> Ltd</w:t>
      </w:r>
      <w:r w:rsidR="00EB33FA">
        <w:t>, Basel, Switzerland</w:t>
      </w:r>
    </w:p>
    <w:p w14:paraId="081144F9" w14:textId="2F302B83" w:rsidR="00482C6D" w:rsidRDefault="004071FB" w:rsidP="000F6459">
      <w:pPr>
        <w:spacing w:line="480" w:lineRule="auto"/>
      </w:pPr>
      <w:r w:rsidRPr="004071FB">
        <w:t>Antonella</w:t>
      </w:r>
      <w:r w:rsidR="00DB29EA">
        <w:t xml:space="preserve"> S.</w:t>
      </w:r>
      <w:r w:rsidRPr="004071FB">
        <w:t xml:space="preserve"> Chadha </w:t>
      </w:r>
      <w:r w:rsidRPr="009D260F">
        <w:t>–</w:t>
      </w:r>
      <w:r>
        <w:t xml:space="preserve"> Biogen, Inc. </w:t>
      </w:r>
    </w:p>
    <w:p w14:paraId="66020599" w14:textId="77777777" w:rsidR="008A33E1" w:rsidRPr="008A33E1" w:rsidRDefault="008A33E1" w:rsidP="000F6459">
      <w:pPr>
        <w:spacing w:line="480" w:lineRule="auto"/>
      </w:pPr>
    </w:p>
    <w:p w14:paraId="3E91F234" w14:textId="6B6539F9" w:rsidR="00253276" w:rsidRDefault="00253276" w:rsidP="000F6459">
      <w:pPr>
        <w:spacing w:line="480" w:lineRule="auto"/>
        <w:rPr>
          <w:b/>
          <w:bCs/>
          <w:u w:val="single"/>
        </w:rPr>
      </w:pPr>
      <w:r w:rsidRPr="00883834">
        <w:rPr>
          <w:b/>
          <w:bCs/>
          <w:u w:val="single"/>
        </w:rPr>
        <w:t>Abstract</w:t>
      </w:r>
    </w:p>
    <w:p w14:paraId="39B856DE" w14:textId="43F79C4F" w:rsidR="00EB02A5" w:rsidRDefault="003645AE" w:rsidP="000F6459">
      <w:pPr>
        <w:spacing w:line="480" w:lineRule="auto"/>
      </w:pPr>
      <w:r w:rsidRPr="003645AE">
        <w:t xml:space="preserve">As </w:t>
      </w:r>
      <w:r w:rsidR="00EB02A5">
        <w:t xml:space="preserve">Alzheimer’s </w:t>
      </w:r>
      <w:r>
        <w:t xml:space="preserve">research accelerates, holistic value assessments for new disease modifying therapies are urgently needed. </w:t>
      </w:r>
      <w:r w:rsidR="00EB02A5" w:rsidRPr="009D260F">
        <w:t xml:space="preserve">Alzheimer’s registries </w:t>
      </w:r>
      <w:r w:rsidR="00EB02A5">
        <w:t xml:space="preserve">collect crucial data that can be used to </w:t>
      </w:r>
      <w:r w:rsidR="00EB02A5" w:rsidRPr="009D260F">
        <w:t>assess the clinical efficacy of therapies and quantify their social and economic benefits</w:t>
      </w:r>
      <w:r w:rsidR="00EB02A5">
        <w:t>.</w:t>
      </w:r>
      <w:r w:rsidR="00CA37CC">
        <w:t xml:space="preserve"> However, optimizing the use of registries remains an urgent next step for European stakeholders</w:t>
      </w:r>
      <w:r w:rsidR="003959BE">
        <w:t xml:space="preserve"> to enable the assessment of the clinical and economic value of new Alzheimer’s disease therapies</w:t>
      </w:r>
      <w:r w:rsidR="00CA37CC">
        <w:t xml:space="preserve">. </w:t>
      </w:r>
      <w:r w:rsidR="00DE7587">
        <w:t>T</w:t>
      </w:r>
      <w:r w:rsidR="000F6459">
        <w:t>o</w:t>
      </w:r>
      <w:r w:rsidR="001B3587">
        <w:t xml:space="preserve"> </w:t>
      </w:r>
      <w:r w:rsidR="00CA37CC">
        <w:t>better-</w:t>
      </w:r>
      <w:r w:rsidR="001B3587">
        <w:t xml:space="preserve">facilitate holistic value assessments, registries must </w:t>
      </w:r>
      <w:r w:rsidR="000F6459">
        <w:t>incorporate</w:t>
      </w:r>
      <w:r w:rsidR="001B3587">
        <w:t xml:space="preserve"> more </w:t>
      </w:r>
      <w:r w:rsidR="00EB02A5" w:rsidRPr="009D260F">
        <w:t>biomarker and digital phenotyping dat</w:t>
      </w:r>
      <w:r w:rsidR="001B3587">
        <w:t xml:space="preserve">a, be flexible, and </w:t>
      </w:r>
      <w:r w:rsidR="000F6459">
        <w:t>reflect multiple disease</w:t>
      </w:r>
      <w:r w:rsidR="001B3587">
        <w:t xml:space="preserve"> hypothes</w:t>
      </w:r>
      <w:r w:rsidR="000F6459">
        <w:t>es</w:t>
      </w:r>
      <w:r w:rsidR="001B3587">
        <w:t xml:space="preserve">. Registries should also </w:t>
      </w:r>
      <w:r w:rsidR="003959BE">
        <w:t xml:space="preserve">serve to </w:t>
      </w:r>
      <w:r w:rsidR="001B3587">
        <w:t xml:space="preserve">foster </w:t>
      </w:r>
      <w:r w:rsidR="003959BE">
        <w:t xml:space="preserve">greater </w:t>
      </w:r>
      <w:r w:rsidR="00EB02A5" w:rsidRPr="003A7DF8">
        <w:t xml:space="preserve">public trust </w:t>
      </w:r>
      <w:r w:rsidR="003959BE">
        <w:t xml:space="preserve">in </w:t>
      </w:r>
      <w:r w:rsidR="00EB02A5" w:rsidRPr="003A7DF8">
        <w:t xml:space="preserve">and engagement </w:t>
      </w:r>
      <w:r w:rsidR="003959BE">
        <w:t xml:space="preserve">with registries </w:t>
      </w:r>
      <w:r w:rsidR="00EB02A5" w:rsidRPr="003A7DF8">
        <w:t xml:space="preserve">by </w:t>
      </w:r>
      <w:r w:rsidR="001B3587">
        <w:t>incorporating</w:t>
      </w:r>
      <w:r w:rsidR="00EB02A5" w:rsidRPr="003A7DF8">
        <w:t xml:space="preserve"> robust legal </w:t>
      </w:r>
      <w:r w:rsidR="003959BE">
        <w:t xml:space="preserve">frameworks </w:t>
      </w:r>
      <w:r w:rsidR="00EB02A5" w:rsidRPr="003A7DF8">
        <w:t xml:space="preserve">that protect data privacy. </w:t>
      </w:r>
    </w:p>
    <w:p w14:paraId="444F0F11" w14:textId="2D98929D" w:rsidR="00A56A6B" w:rsidRPr="00883834" w:rsidRDefault="00A56A6B" w:rsidP="000F6459">
      <w:pPr>
        <w:spacing w:line="480" w:lineRule="auto"/>
        <w:rPr>
          <w:b/>
          <w:bCs/>
          <w:u w:val="single"/>
        </w:rPr>
      </w:pPr>
      <w:r w:rsidRPr="00883834">
        <w:rPr>
          <w:b/>
          <w:bCs/>
          <w:u w:val="single"/>
        </w:rPr>
        <w:lastRenderedPageBreak/>
        <w:t>Introduction</w:t>
      </w:r>
    </w:p>
    <w:p w14:paraId="4707A218" w14:textId="5C7010ED" w:rsidR="009A0E13" w:rsidRPr="009D260F" w:rsidRDefault="009A0E13" w:rsidP="000F6459">
      <w:pPr>
        <w:spacing w:line="480" w:lineRule="auto"/>
      </w:pPr>
      <w:r w:rsidRPr="009D260F">
        <w:t>As Europe’s population</w:t>
      </w:r>
      <w:r w:rsidR="003645AE">
        <w:t xml:space="preserve">s </w:t>
      </w:r>
      <w:r w:rsidRPr="009D260F">
        <w:t xml:space="preserve">age and life expectancies rise, the prevalence of Alzheimer’s disease is rapidly increasing. Current projections show a staggering </w:t>
      </w:r>
      <w:r w:rsidR="006110F4" w:rsidRPr="009D260F">
        <w:t>18.8</w:t>
      </w:r>
      <w:r w:rsidRPr="009D260F">
        <w:t xml:space="preserve"> million Europeans will be living with Alzheimer’s disease by 2050.</w:t>
      </w:r>
      <w:r w:rsidR="006110F4" w:rsidRPr="009D260F">
        <w:rPr>
          <w:rStyle w:val="EndnoteReference"/>
        </w:rPr>
        <w:endnoteReference w:id="1"/>
      </w:r>
      <w:r w:rsidR="006110F4" w:rsidRPr="009D260F">
        <w:t xml:space="preserve"> </w:t>
      </w:r>
      <w:r w:rsidRPr="009D260F">
        <w:t xml:space="preserve"> </w:t>
      </w:r>
      <w:r w:rsidR="00B2638F" w:rsidRPr="009D260F">
        <w:t>As</w:t>
      </w:r>
      <w:r w:rsidR="000C66A4" w:rsidRPr="009D260F">
        <w:t xml:space="preserve"> researchers </w:t>
      </w:r>
      <w:r w:rsidR="003959BE">
        <w:t>identify and develop</w:t>
      </w:r>
      <w:r w:rsidR="003959BE" w:rsidRPr="009D260F">
        <w:t xml:space="preserve"> </w:t>
      </w:r>
      <w:r w:rsidR="00521FF1" w:rsidRPr="009D260F">
        <w:t>new treatment breakthroughs, policymakers and healthcare providers must collaborate to</w:t>
      </w:r>
      <w:r w:rsidR="008624C1" w:rsidRPr="009D260F">
        <w:t xml:space="preserve"> collect, store</w:t>
      </w:r>
      <w:r w:rsidR="00CE53CB" w:rsidRPr="009D260F">
        <w:t>, share</w:t>
      </w:r>
      <w:r w:rsidR="008624C1" w:rsidRPr="009D260F">
        <w:t xml:space="preserve">, and standardize </w:t>
      </w:r>
      <w:r w:rsidR="003959BE">
        <w:t xml:space="preserve">the </w:t>
      </w:r>
      <w:r w:rsidR="008624C1" w:rsidRPr="009D260F">
        <w:t xml:space="preserve">data needed to guide treatment </w:t>
      </w:r>
      <w:r w:rsidR="003959BE">
        <w:t xml:space="preserve">decisions </w:t>
      </w:r>
      <w:r w:rsidR="008624C1" w:rsidRPr="009D260F">
        <w:t>and assess</w:t>
      </w:r>
      <w:r w:rsidR="003959BE">
        <w:t>ments of</w:t>
      </w:r>
      <w:r w:rsidR="008624C1" w:rsidRPr="009D260F">
        <w:t xml:space="preserve"> the value of new therapies.</w:t>
      </w:r>
      <w:r w:rsidR="006D7CDF">
        <w:t xml:space="preserve"> </w:t>
      </w:r>
      <w:r w:rsidR="00F927CD">
        <w:t>As of 202</w:t>
      </w:r>
      <w:r w:rsidR="004E3A88">
        <w:t>1</w:t>
      </w:r>
      <w:r w:rsidR="008B6C67" w:rsidRPr="009D260F">
        <w:t>, 2</w:t>
      </w:r>
      <w:r w:rsidR="004E3A88">
        <w:t>8</w:t>
      </w:r>
      <w:r w:rsidR="00F84E21">
        <w:t xml:space="preserve"> </w:t>
      </w:r>
      <w:r w:rsidR="008B6C67" w:rsidRPr="009D260F">
        <w:t xml:space="preserve">Alzheimer’s therapies </w:t>
      </w:r>
      <w:r w:rsidR="00F927CD">
        <w:t>were</w:t>
      </w:r>
      <w:r w:rsidR="00F927CD" w:rsidRPr="009D260F">
        <w:t xml:space="preserve"> </w:t>
      </w:r>
      <w:r w:rsidR="008B6C67" w:rsidRPr="009D260F">
        <w:t>undergoing phase III trials,</w:t>
      </w:r>
      <w:r w:rsidR="006F0C31" w:rsidRPr="009D260F">
        <w:t xml:space="preserve"> and</w:t>
      </w:r>
      <w:r w:rsidR="008B6C67" w:rsidRPr="009D260F">
        <w:t xml:space="preserve"> </w:t>
      </w:r>
      <w:r w:rsidR="004E3A88">
        <w:t>61</w:t>
      </w:r>
      <w:r w:rsidR="008B6C67" w:rsidRPr="009D260F">
        <w:t xml:space="preserve">% of </w:t>
      </w:r>
      <w:r w:rsidR="006F0C31" w:rsidRPr="009D260F">
        <w:t>these</w:t>
      </w:r>
      <w:r w:rsidR="008B6C67" w:rsidRPr="009D260F">
        <w:t xml:space="preserve"> </w:t>
      </w:r>
      <w:r w:rsidR="00CA37CC">
        <w:t>were</w:t>
      </w:r>
      <w:r w:rsidR="00CA37CC" w:rsidRPr="009D260F">
        <w:t xml:space="preserve"> </w:t>
      </w:r>
      <w:r w:rsidR="008B6C67" w:rsidRPr="009D260F">
        <w:t xml:space="preserve">disease-modifying </w:t>
      </w:r>
      <w:r w:rsidR="00C02D4D" w:rsidRPr="009D260F">
        <w:t>treatments</w:t>
      </w:r>
      <w:r w:rsidR="008B6C67" w:rsidRPr="009D260F">
        <w:t xml:space="preserve"> (DMTs) </w:t>
      </w:r>
      <w:r w:rsidRPr="009D260F">
        <w:t xml:space="preserve">designed to </w:t>
      </w:r>
      <w:r w:rsidR="006F0C31" w:rsidRPr="009D260F">
        <w:t xml:space="preserve">slow the progression of Alzheimer’s by </w:t>
      </w:r>
      <w:r w:rsidRPr="009D260F">
        <w:t>alter</w:t>
      </w:r>
      <w:r w:rsidR="006F0C31" w:rsidRPr="009D260F">
        <w:t>ing</w:t>
      </w:r>
      <w:r w:rsidRPr="009D260F">
        <w:t xml:space="preserve"> </w:t>
      </w:r>
      <w:r w:rsidR="006F0C31" w:rsidRPr="009D260F">
        <w:t>its</w:t>
      </w:r>
      <w:r w:rsidRPr="009D260F">
        <w:t xml:space="preserve"> underlying pathophysiology</w:t>
      </w:r>
      <w:r w:rsidR="006F0C31" w:rsidRPr="009D260F">
        <w:t>.</w:t>
      </w:r>
      <w:r w:rsidR="00F84E21">
        <w:rPr>
          <w:rStyle w:val="EndnoteReference"/>
        </w:rPr>
        <w:endnoteReference w:id="2"/>
      </w:r>
      <w:r w:rsidR="00375B13">
        <w:t xml:space="preserve"> </w:t>
      </w:r>
      <w:r w:rsidR="003959BE">
        <w:t>The</w:t>
      </w:r>
      <w:r w:rsidR="004071FB">
        <w:t xml:space="preserve"> </w:t>
      </w:r>
      <w:r w:rsidR="00375B13">
        <w:t>United States Food and Drug Administration (FDA)</w:t>
      </w:r>
      <w:r w:rsidR="004071FB">
        <w:t xml:space="preserve"> recently approved aducanumab, making it the first DMT approved.</w:t>
      </w:r>
      <w:r w:rsidR="000B6F4D">
        <w:rPr>
          <w:rStyle w:val="EndnoteReference"/>
        </w:rPr>
        <w:endnoteReference w:id="3"/>
      </w:r>
    </w:p>
    <w:p w14:paraId="3D4330EC" w14:textId="4E2A7F49" w:rsidR="009A0E13" w:rsidRPr="009D260F" w:rsidRDefault="009A0E13" w:rsidP="000F6459">
      <w:pPr>
        <w:spacing w:line="480" w:lineRule="auto"/>
      </w:pPr>
      <w:r w:rsidRPr="009D260F">
        <w:t xml:space="preserve">DMTs present unique challenges to drug value assessments. Drug assessment models that rely primarily on clinical trial data often cannot accurately quantify the </w:t>
      </w:r>
      <w:r w:rsidR="003959BE">
        <w:t xml:space="preserve">full range of </w:t>
      </w:r>
      <w:r w:rsidRPr="009D260F">
        <w:t>health and cost-saving benefits of DMTs. This is because the efficacy of DMTs extend</w:t>
      </w:r>
      <w:r w:rsidR="006470D9" w:rsidRPr="009D260F">
        <w:t xml:space="preserve"> beyond the clinical symptoms</w:t>
      </w:r>
      <w:r w:rsidRPr="009D260F">
        <w:t xml:space="preserve"> of Alzheimer’s disease. </w:t>
      </w:r>
      <w:r w:rsidR="00CE53CB" w:rsidRPr="009D260F">
        <w:t>The scientific community is aligning on the fact that</w:t>
      </w:r>
      <w:r w:rsidR="006470D9" w:rsidRPr="009D260F">
        <w:t xml:space="preserve"> </w:t>
      </w:r>
      <w:r w:rsidRPr="009D260F">
        <w:t xml:space="preserve">DMTs </w:t>
      </w:r>
      <w:r w:rsidR="00484D02" w:rsidRPr="009D260F">
        <w:t xml:space="preserve">must be </w:t>
      </w:r>
      <w:r w:rsidR="003959BE">
        <w:t xml:space="preserve">used </w:t>
      </w:r>
      <w:r w:rsidR="00484D02" w:rsidRPr="009D260F">
        <w:t>earl</w:t>
      </w:r>
      <w:r w:rsidR="003959BE">
        <w:t>ier in the disease course</w:t>
      </w:r>
      <w:r w:rsidR="00484D02" w:rsidRPr="009D260F">
        <w:t xml:space="preserve">, </w:t>
      </w:r>
      <w:r w:rsidR="003959BE">
        <w:t xml:space="preserve">to </w:t>
      </w:r>
      <w:proofErr w:type="spellStart"/>
      <w:r w:rsidR="003959BE">
        <w:t>realise</w:t>
      </w:r>
      <w:proofErr w:type="spellEnd"/>
      <w:r w:rsidR="003959BE">
        <w:t xml:space="preserve"> the </w:t>
      </w:r>
      <w:r w:rsidRPr="009D260F">
        <w:t xml:space="preserve">benefits of delayed disease progression. </w:t>
      </w:r>
      <w:r w:rsidR="003645AE">
        <w:t xml:space="preserve">To </w:t>
      </w:r>
      <w:r w:rsidR="006470D9" w:rsidRPr="009D260F">
        <w:t xml:space="preserve">better assess these </w:t>
      </w:r>
      <w:r w:rsidR="003959BE">
        <w:t xml:space="preserve">the full value of these </w:t>
      </w:r>
      <w:r w:rsidR="006470D9" w:rsidRPr="009D260F">
        <w:t xml:space="preserve">benefits, </w:t>
      </w:r>
      <w:r w:rsidRPr="009D260F">
        <w:t>real</w:t>
      </w:r>
      <w:r w:rsidR="006470D9" w:rsidRPr="009D260F">
        <w:t>-</w:t>
      </w:r>
      <w:r w:rsidRPr="009D260F">
        <w:t xml:space="preserve">world </w:t>
      </w:r>
      <w:r w:rsidR="003645AE">
        <w:t xml:space="preserve">data </w:t>
      </w:r>
      <w:r w:rsidRPr="009D260F">
        <w:t>follow</w:t>
      </w:r>
      <w:r w:rsidR="003645AE">
        <w:t>ing</w:t>
      </w:r>
      <w:r w:rsidRPr="009D260F">
        <w:t xml:space="preserve"> patients over the </w:t>
      </w:r>
      <w:r w:rsidR="003959BE">
        <w:t>entirety of the</w:t>
      </w:r>
      <w:r w:rsidR="003959BE" w:rsidRPr="009D260F">
        <w:t xml:space="preserve"> </w:t>
      </w:r>
      <w:r w:rsidR="003645AE">
        <w:t xml:space="preserve">disease </w:t>
      </w:r>
      <w:r w:rsidRPr="009D260F">
        <w:t>course</w:t>
      </w:r>
      <w:r w:rsidR="003A7DF8">
        <w:t xml:space="preserve"> </w:t>
      </w:r>
      <w:r w:rsidRPr="009D260F">
        <w:t xml:space="preserve">is needed to ensure proper patient selection, identify appropriate therapeutic timing and duration, and </w:t>
      </w:r>
      <w:r w:rsidR="003645AE">
        <w:t>reduce</w:t>
      </w:r>
      <w:r w:rsidRPr="009D260F">
        <w:t xml:space="preserve"> societal and health system costs.</w:t>
      </w:r>
    </w:p>
    <w:p w14:paraId="13DC685E" w14:textId="033C8C60" w:rsidR="009B1638" w:rsidRPr="009D260F" w:rsidRDefault="009A0E13" w:rsidP="000F6459">
      <w:pPr>
        <w:spacing w:line="480" w:lineRule="auto"/>
      </w:pPr>
      <w:r w:rsidRPr="009D260F">
        <w:t xml:space="preserve">Alzheimer’s disease registries have already collected much of the data needed to better assess the health, social, and cost-saving value of these emerging Alzheimer’s </w:t>
      </w:r>
      <w:r w:rsidR="00A56A6B" w:rsidRPr="009D260F">
        <w:t>therapies and</w:t>
      </w:r>
      <w:r w:rsidRPr="009D260F">
        <w:t xml:space="preserve"> treatments. </w:t>
      </w:r>
      <w:r w:rsidR="00F84E21">
        <w:t>R</w:t>
      </w:r>
      <w:r w:rsidRPr="009D260F">
        <w:t xml:space="preserve">egistries can track large cohorts of patients and caregivers across a broad range of metrics over long periods of time. </w:t>
      </w:r>
      <w:r w:rsidR="003959BE">
        <w:t>When a</w:t>
      </w:r>
      <w:r w:rsidRPr="009D260F">
        <w:t xml:space="preserve">ggregated and </w:t>
      </w:r>
      <w:proofErr w:type="spellStart"/>
      <w:r w:rsidRPr="009D260F">
        <w:t>analy</w:t>
      </w:r>
      <w:r w:rsidR="003959BE">
        <w:t>s</w:t>
      </w:r>
      <w:r w:rsidRPr="009D260F">
        <w:t>ed</w:t>
      </w:r>
      <w:proofErr w:type="spellEnd"/>
      <w:r w:rsidRPr="009D260F">
        <w:t>, this data can help health systems</w:t>
      </w:r>
      <w:r w:rsidR="003959BE">
        <w:t xml:space="preserve"> and payers</w:t>
      </w:r>
      <w:r w:rsidRPr="009D260F">
        <w:t xml:space="preserve"> to assess the clinical efficacy of different therapies and quantify their broader </w:t>
      </w:r>
      <w:r w:rsidR="003959BE">
        <w:t>socioeconomic</w:t>
      </w:r>
      <w:r w:rsidRPr="009D260F">
        <w:t xml:space="preserve"> benefits.</w:t>
      </w:r>
    </w:p>
    <w:p w14:paraId="3E50DD64" w14:textId="1ABAE085" w:rsidR="000C66A4" w:rsidRPr="00883834" w:rsidRDefault="000C66A4" w:rsidP="000F6459">
      <w:pPr>
        <w:spacing w:line="480" w:lineRule="auto"/>
        <w:rPr>
          <w:b/>
          <w:bCs/>
          <w:u w:val="single"/>
        </w:rPr>
      </w:pPr>
      <w:r w:rsidRPr="00883834">
        <w:rPr>
          <w:b/>
          <w:bCs/>
          <w:u w:val="single"/>
        </w:rPr>
        <w:lastRenderedPageBreak/>
        <w:t>Methods</w:t>
      </w:r>
    </w:p>
    <w:p w14:paraId="1F0E4CBE" w14:textId="2E5E9989" w:rsidR="00AB5D5C" w:rsidRPr="009D260F" w:rsidRDefault="00C75DF3" w:rsidP="00DB29EA">
      <w:pPr>
        <w:spacing w:line="480" w:lineRule="auto"/>
      </w:pPr>
      <w:r w:rsidRPr="009D260F">
        <w:t>To</w:t>
      </w:r>
      <w:r w:rsidR="00FD5B14" w:rsidRPr="009D260F">
        <w:t xml:space="preserve"> examine unmet needs, the potential benefits of registry data, and </w:t>
      </w:r>
      <w:r w:rsidR="0003495F">
        <w:t>recommendations</w:t>
      </w:r>
      <w:r w:rsidR="00FD5B14" w:rsidRPr="009D260F">
        <w:t xml:space="preserve"> for </w:t>
      </w:r>
      <w:r w:rsidR="0003495F">
        <w:t xml:space="preserve">leverage </w:t>
      </w:r>
      <w:r w:rsidR="00FD5B14" w:rsidRPr="009D260F">
        <w:t xml:space="preserve">registries, we conducted </w:t>
      </w:r>
      <w:r w:rsidR="00DB29EA">
        <w:t>desk research. We also drew on professional expertise</w:t>
      </w:r>
      <w:r w:rsidR="00482C6D">
        <w:t xml:space="preserve"> and</w:t>
      </w:r>
      <w:r w:rsidR="00DB29EA">
        <w:t xml:space="preserve"> experiences in</w:t>
      </w:r>
      <w:r w:rsidR="00482C6D">
        <w:t xml:space="preserve"> diverse segments of</w:t>
      </w:r>
      <w:r w:rsidR="00DB29EA">
        <w:t xml:space="preserve"> the Alzheimer’s space, including research, advocacy, and industry. </w:t>
      </w:r>
    </w:p>
    <w:p w14:paraId="397580EC" w14:textId="387299E8" w:rsidR="00FD5B14" w:rsidRPr="009D260F" w:rsidRDefault="00DB29EA" w:rsidP="000F6459">
      <w:pPr>
        <w:spacing w:line="480" w:lineRule="auto"/>
      </w:pPr>
      <w:r>
        <w:t>We structured our research and analysis</w:t>
      </w:r>
      <w:r w:rsidR="00FD5B14" w:rsidRPr="009D260F">
        <w:t xml:space="preserve"> around the following questions:</w:t>
      </w:r>
    </w:p>
    <w:p w14:paraId="6C1932A6" w14:textId="2AF3E65E" w:rsidR="00FD5B14" w:rsidRPr="009D260F" w:rsidRDefault="00FD5B14" w:rsidP="000F6459">
      <w:pPr>
        <w:pStyle w:val="ListParagraph"/>
        <w:numPr>
          <w:ilvl w:val="0"/>
          <w:numId w:val="25"/>
        </w:numPr>
        <w:spacing w:line="480" w:lineRule="auto"/>
      </w:pPr>
      <w:r w:rsidRPr="009D260F">
        <w:t xml:space="preserve">How can registry data be used to create drug value assessments that discern the full benefits of emerging therapies? </w:t>
      </w:r>
    </w:p>
    <w:p w14:paraId="0C18F595" w14:textId="50281839" w:rsidR="00FD5B14" w:rsidRPr="009D260F" w:rsidRDefault="00FD5B14" w:rsidP="000F6459">
      <w:pPr>
        <w:pStyle w:val="ListParagraph"/>
        <w:numPr>
          <w:ilvl w:val="0"/>
          <w:numId w:val="25"/>
        </w:numPr>
        <w:spacing w:line="480" w:lineRule="auto"/>
      </w:pPr>
      <w:r w:rsidRPr="009D260F">
        <w:t xml:space="preserve">How can this </w:t>
      </w:r>
      <w:r w:rsidR="00482C6D">
        <w:t>registry data</w:t>
      </w:r>
      <w:r w:rsidRPr="009D260F">
        <w:t xml:space="preserve"> be leveraged to secure payer support </w:t>
      </w:r>
      <w:r w:rsidR="001C1B92">
        <w:t>and</w:t>
      </w:r>
      <w:r w:rsidRPr="009D260F">
        <w:t xml:space="preserve"> patient access? </w:t>
      </w:r>
    </w:p>
    <w:p w14:paraId="0E56AB26" w14:textId="77777777" w:rsidR="00FD5B14" w:rsidRPr="009D260F" w:rsidRDefault="00FD5B14" w:rsidP="000F6459">
      <w:pPr>
        <w:pStyle w:val="ListParagraph"/>
        <w:numPr>
          <w:ilvl w:val="0"/>
          <w:numId w:val="25"/>
        </w:numPr>
        <w:spacing w:line="480" w:lineRule="auto"/>
      </w:pPr>
      <w:r w:rsidRPr="009D260F">
        <w:t xml:space="preserve">What are the current barriers to using Alzheimer’s disease registry data, including any “data gaps,” in the creation of new drug value assessments? </w:t>
      </w:r>
    </w:p>
    <w:p w14:paraId="572A9686" w14:textId="77777777" w:rsidR="00FD5B14" w:rsidRPr="009D260F" w:rsidRDefault="00FD5B14" w:rsidP="000F6459">
      <w:pPr>
        <w:pStyle w:val="ListParagraph"/>
        <w:numPr>
          <w:ilvl w:val="0"/>
          <w:numId w:val="25"/>
        </w:numPr>
        <w:spacing w:line="480" w:lineRule="auto"/>
      </w:pPr>
      <w:r w:rsidRPr="009D260F">
        <w:t>Can registries help bridge between clinical trial data and insights to real world evidence needs?</w:t>
      </w:r>
    </w:p>
    <w:p w14:paraId="6E7E6A32" w14:textId="5020F273" w:rsidR="00AB5D5C" w:rsidRPr="009D260F" w:rsidRDefault="00FD5B14" w:rsidP="000F6459">
      <w:pPr>
        <w:pStyle w:val="ListParagraph"/>
        <w:numPr>
          <w:ilvl w:val="0"/>
          <w:numId w:val="25"/>
        </w:numPr>
        <w:spacing w:line="480" w:lineRule="auto"/>
      </w:pPr>
      <w:r w:rsidRPr="009D260F">
        <w:t xml:space="preserve">How </w:t>
      </w:r>
      <w:r w:rsidR="00482C6D">
        <w:t>can digital biomarkers be used in</w:t>
      </w:r>
      <w:r w:rsidRPr="009D260F">
        <w:t xml:space="preserve"> registries? How do these technologies potentially change the landscape in the future?</w:t>
      </w:r>
      <w:r w:rsidR="009601DB" w:rsidRPr="009D260F">
        <w:t xml:space="preserve"> </w:t>
      </w:r>
    </w:p>
    <w:p w14:paraId="777A2D55" w14:textId="13B072D4" w:rsidR="00906F5A" w:rsidRPr="00883834" w:rsidRDefault="000C66A4" w:rsidP="000F6459">
      <w:pPr>
        <w:spacing w:line="480" w:lineRule="auto"/>
        <w:rPr>
          <w:b/>
          <w:bCs/>
          <w:u w:val="single"/>
        </w:rPr>
      </w:pPr>
      <w:r w:rsidRPr="00883834">
        <w:rPr>
          <w:b/>
          <w:bCs/>
          <w:u w:val="single"/>
        </w:rPr>
        <w:t>Results</w:t>
      </w:r>
    </w:p>
    <w:p w14:paraId="319A1269" w14:textId="6AEAC1A9" w:rsidR="007E6C4A" w:rsidRPr="009D260F" w:rsidRDefault="007E6C4A" w:rsidP="000F6459">
      <w:pPr>
        <w:spacing w:line="480" w:lineRule="auto"/>
      </w:pPr>
      <w:r w:rsidRPr="009D260F">
        <w:t>Optimizing the use of Alzheimer’s disease registries remains an urgent next step for European stakeholders seeking to advance new therapies and the funding models that support them. To make the most of the opportunities offered by registries, we must:</w:t>
      </w:r>
    </w:p>
    <w:p w14:paraId="7DEAA394" w14:textId="729898BB" w:rsidR="00906F5A" w:rsidRPr="009D260F" w:rsidRDefault="00A17E4D" w:rsidP="000F6459">
      <w:pPr>
        <w:spacing w:line="480" w:lineRule="auto"/>
      </w:pPr>
      <w:r w:rsidRPr="009D260F">
        <w:t xml:space="preserve">1. </w:t>
      </w:r>
      <w:r w:rsidR="007E6C4A" w:rsidRPr="009D260F">
        <w:t>Increase</w:t>
      </w:r>
      <w:r w:rsidR="00906F5A" w:rsidRPr="009D260F">
        <w:t xml:space="preserve"> biomarker and digital phenotyping data in the registries</w:t>
      </w:r>
      <w:r w:rsidR="007E6C4A" w:rsidRPr="009D260F">
        <w:t xml:space="preserve">. </w:t>
      </w:r>
    </w:p>
    <w:p w14:paraId="2D9270BC" w14:textId="7E34DA0F" w:rsidR="00906F5A" w:rsidRPr="009D260F" w:rsidRDefault="00906F5A" w:rsidP="000F6459">
      <w:pPr>
        <w:spacing w:line="480" w:lineRule="auto"/>
      </w:pPr>
      <w:r w:rsidRPr="009D260F">
        <w:t xml:space="preserve">2. </w:t>
      </w:r>
      <w:r w:rsidR="007E6C4A" w:rsidRPr="009D260F">
        <w:t>E</w:t>
      </w:r>
      <w:r w:rsidRPr="009D260F">
        <w:t xml:space="preserve">nsure registries are flexible and not built around </w:t>
      </w:r>
      <w:r w:rsidR="0003495F">
        <w:t>a single</w:t>
      </w:r>
      <w:r w:rsidR="0003495F" w:rsidRPr="009D260F">
        <w:t xml:space="preserve"> </w:t>
      </w:r>
      <w:r w:rsidRPr="009D260F">
        <w:t>disease hypothesis</w:t>
      </w:r>
      <w:r w:rsidR="007E6C4A" w:rsidRPr="009D260F">
        <w:t xml:space="preserve">. </w:t>
      </w:r>
    </w:p>
    <w:p w14:paraId="65FB9B76" w14:textId="401614C2" w:rsidR="00906F5A" w:rsidRPr="003A7DF8" w:rsidRDefault="00906F5A" w:rsidP="000F6459">
      <w:pPr>
        <w:spacing w:line="480" w:lineRule="auto"/>
        <w:rPr>
          <w:u w:val="single"/>
        </w:rPr>
      </w:pPr>
      <w:r w:rsidRPr="009D260F">
        <w:t xml:space="preserve">3. </w:t>
      </w:r>
      <w:r w:rsidR="003A7DF8" w:rsidRPr="003A7DF8">
        <w:t xml:space="preserve">Foster public trust and engagement by establishing robust legal structures that protect data privacy. </w:t>
      </w:r>
    </w:p>
    <w:p w14:paraId="766766A2" w14:textId="57D52465" w:rsidR="00FD5B14" w:rsidRPr="009D260F" w:rsidRDefault="007E6C4A" w:rsidP="000F6459">
      <w:pPr>
        <w:spacing w:line="480" w:lineRule="auto"/>
      </w:pPr>
      <w:bookmarkStart w:id="0" w:name="_Hlk61264423"/>
      <w:r w:rsidRPr="009D260F">
        <w:lastRenderedPageBreak/>
        <w:t xml:space="preserve">By taking these steps, we can </w:t>
      </w:r>
      <w:r w:rsidR="00883834">
        <w:t>elevate</w:t>
      </w:r>
      <w:r w:rsidRPr="009D260F">
        <w:t xml:space="preserve"> the potential of Alzheimer’s registries operating today, inform how to construct these tools in the future, deepen our understanding of the disease, and catalyze innovation and access in</w:t>
      </w:r>
      <w:bookmarkEnd w:id="0"/>
      <w:r w:rsidRPr="009D260F">
        <w:t xml:space="preserve"> Alzheimer’s treatment.</w:t>
      </w:r>
    </w:p>
    <w:p w14:paraId="21EDF2BC" w14:textId="51054FB2" w:rsidR="000C66A4" w:rsidRPr="00883834" w:rsidRDefault="000C66A4" w:rsidP="00AC7802">
      <w:pPr>
        <w:spacing w:line="480" w:lineRule="auto"/>
        <w:rPr>
          <w:b/>
          <w:bCs/>
          <w:u w:val="single"/>
        </w:rPr>
      </w:pPr>
      <w:r w:rsidRPr="00883834">
        <w:rPr>
          <w:b/>
          <w:bCs/>
          <w:u w:val="single"/>
        </w:rPr>
        <w:t>Discussio</w:t>
      </w:r>
      <w:r w:rsidR="00A17E4D" w:rsidRPr="00883834">
        <w:rPr>
          <w:b/>
          <w:bCs/>
          <w:u w:val="single"/>
        </w:rPr>
        <w:t>n</w:t>
      </w:r>
    </w:p>
    <w:p w14:paraId="53CF4F62" w14:textId="3A935001" w:rsidR="00670023" w:rsidRPr="009D260F" w:rsidRDefault="00670023" w:rsidP="000F6459">
      <w:pPr>
        <w:shd w:val="clear" w:color="auto" w:fill="FFFFFF"/>
        <w:spacing w:after="0" w:line="480" w:lineRule="auto"/>
        <w:rPr>
          <w:rFonts w:eastAsia="Times New Roman"/>
          <w:color w:val="000000"/>
        </w:rPr>
      </w:pPr>
      <w:r w:rsidRPr="009D260F">
        <w:t>Because Alzheimer’s is marked by gradual progression over the course of many years, long-term data on large populations is essential</w:t>
      </w:r>
      <w:r w:rsidR="003645AE">
        <w:t xml:space="preserve">. </w:t>
      </w:r>
      <w:r w:rsidRPr="009D260F">
        <w:t xml:space="preserve">By adopting a broad scope and collecting patient data from pre-clinical Alzheimer’s to its terminal stages, registries can facilitate and add to the </w:t>
      </w:r>
      <w:r w:rsidRPr="009D260F">
        <w:rPr>
          <w:rFonts w:eastAsia="Times New Roman"/>
          <w:color w:val="000000"/>
        </w:rPr>
        <w:t xml:space="preserve">extrapolation of randomized clinical trial data for better understanding. </w:t>
      </w:r>
      <w:r w:rsidR="009D260F">
        <w:rPr>
          <w:rFonts w:eastAsia="Times New Roman"/>
          <w:color w:val="000000"/>
        </w:rPr>
        <w:t>Three steps are essential for maximizing the potential of registries:</w:t>
      </w:r>
    </w:p>
    <w:p w14:paraId="4978A2F2" w14:textId="77777777" w:rsidR="00670023" w:rsidRPr="009D260F" w:rsidRDefault="00670023" w:rsidP="000F6459">
      <w:pPr>
        <w:shd w:val="clear" w:color="auto" w:fill="FFFFFF"/>
        <w:spacing w:after="0" w:line="480" w:lineRule="auto"/>
        <w:rPr>
          <w:rFonts w:eastAsia="Times New Roman"/>
          <w:color w:val="000000"/>
        </w:rPr>
      </w:pPr>
    </w:p>
    <w:p w14:paraId="0260D98B" w14:textId="1049E75E" w:rsidR="00670023" w:rsidRPr="00AC7802" w:rsidRDefault="00670023" w:rsidP="00AC7802">
      <w:pPr>
        <w:pStyle w:val="ListParagraph"/>
        <w:numPr>
          <w:ilvl w:val="0"/>
          <w:numId w:val="34"/>
        </w:numPr>
        <w:spacing w:line="480" w:lineRule="auto"/>
      </w:pPr>
      <w:bookmarkStart w:id="1" w:name="_Hlk61264449"/>
      <w:r w:rsidRPr="00AC7802">
        <w:t xml:space="preserve">Increase biomarker and digital phenotyping data in the registries. </w:t>
      </w:r>
    </w:p>
    <w:p w14:paraId="2FCC58AC" w14:textId="4A90600B" w:rsidR="00124FE1" w:rsidRPr="009D260F" w:rsidRDefault="006B152E" w:rsidP="000F6459">
      <w:pPr>
        <w:spacing w:line="480" w:lineRule="auto"/>
      </w:pPr>
      <w:r w:rsidRPr="009D260F">
        <w:t xml:space="preserve">Ideally, the most effective DMTs would be administered early in the disease </w:t>
      </w:r>
      <w:r w:rsidR="0003495F">
        <w:t>course.</w:t>
      </w:r>
      <w:r w:rsidRPr="009D260F">
        <w:t xml:space="preserve"> Advanced </w:t>
      </w:r>
      <w:r w:rsidR="00124FE1" w:rsidRPr="009D260F">
        <w:t>biomarker and digital phenotyping</w:t>
      </w:r>
      <w:r w:rsidRPr="009D260F">
        <w:t xml:space="preserve"> data can </w:t>
      </w:r>
      <w:r w:rsidR="009D260F">
        <w:t>facilitate early treatment by helping</w:t>
      </w:r>
      <w:r w:rsidRPr="009D260F">
        <w:t xml:space="preserve"> pinpoint who will benefit the most from new Alzheimer’s therapies. If registries can collect </w:t>
      </w:r>
      <w:r w:rsidR="009D260F">
        <w:t xml:space="preserve">biomarker and phenotyping </w:t>
      </w:r>
      <w:r w:rsidRPr="009D260F">
        <w:t xml:space="preserve">data from large, diverse populations, health systems can use the data to determine </w:t>
      </w:r>
      <w:r w:rsidR="0003495F">
        <w:t xml:space="preserve">which patients will benefit most from </w:t>
      </w:r>
      <w:r w:rsidRPr="009D260F">
        <w:t>DMT</w:t>
      </w:r>
      <w:r w:rsidR="006D7CDF">
        <w:t xml:space="preserve">s. </w:t>
      </w:r>
    </w:p>
    <w:p w14:paraId="4B412B57" w14:textId="4BA830DC" w:rsidR="002875A8" w:rsidRPr="009D260F" w:rsidRDefault="002875A8" w:rsidP="000F6459">
      <w:pPr>
        <w:shd w:val="clear" w:color="auto" w:fill="FFFFFF"/>
        <w:spacing w:after="0" w:line="480" w:lineRule="auto"/>
        <w:rPr>
          <w:rFonts w:eastAsia="Times New Roman"/>
          <w:b/>
          <w:bCs/>
          <w:color w:val="000000"/>
        </w:rPr>
      </w:pPr>
      <w:r w:rsidRPr="009D260F">
        <w:rPr>
          <w:rFonts w:eastAsia="Times New Roman"/>
          <w:color w:val="000000"/>
        </w:rPr>
        <w:t xml:space="preserve">Registry data can </w:t>
      </w:r>
      <w:r w:rsidR="009D260F">
        <w:rPr>
          <w:rFonts w:eastAsia="Times New Roman"/>
          <w:color w:val="000000"/>
        </w:rPr>
        <w:t>also be</w:t>
      </w:r>
      <w:r w:rsidRPr="009D260F">
        <w:rPr>
          <w:rFonts w:eastAsia="Times New Roman"/>
          <w:color w:val="000000"/>
        </w:rPr>
        <w:t xml:space="preserve"> used to build and validate models</w:t>
      </w:r>
      <w:r w:rsidR="009D260F">
        <w:rPr>
          <w:rFonts w:eastAsia="Times New Roman"/>
          <w:b/>
          <w:bCs/>
          <w:color w:val="000000"/>
        </w:rPr>
        <w:t xml:space="preserve"> </w:t>
      </w:r>
      <w:r w:rsidR="009D260F">
        <w:rPr>
          <w:rFonts w:eastAsia="Times New Roman"/>
          <w:color w:val="000000"/>
        </w:rPr>
        <w:t>using real-world data</w:t>
      </w:r>
      <w:r w:rsidR="00F84E21">
        <w:rPr>
          <w:rFonts w:eastAsia="Times New Roman"/>
          <w:color w:val="000000"/>
        </w:rPr>
        <w:t>.</w:t>
      </w:r>
      <w:r w:rsidR="009D260F">
        <w:rPr>
          <w:rFonts w:eastAsia="Times New Roman"/>
          <w:color w:val="000000"/>
        </w:rPr>
        <w:t xml:space="preserve"> These biomarker and digital phenotyping-informed models </w:t>
      </w:r>
      <w:r w:rsidRPr="009D260F">
        <w:rPr>
          <w:rFonts w:eastAsia="Times New Roman"/>
          <w:color w:val="000000"/>
        </w:rPr>
        <w:t>can offer a wealth of information on long-term time horizons (10-20 years), broader settings (</w:t>
      </w:r>
      <w:r w:rsidR="0003495F">
        <w:rPr>
          <w:rFonts w:eastAsia="Times New Roman"/>
          <w:color w:val="000000"/>
        </w:rPr>
        <w:t xml:space="preserve">e.g. </w:t>
      </w:r>
      <w:r w:rsidRPr="009D260F">
        <w:rPr>
          <w:rFonts w:eastAsia="Times New Roman"/>
          <w:color w:val="000000"/>
        </w:rPr>
        <w:t>markets not included in clinical trials, subgroups that require specific assumptions) and outcomes that cannot be adequately assessed in clinical trials</w:t>
      </w:r>
      <w:r w:rsidR="009D260F">
        <w:rPr>
          <w:rFonts w:eastAsia="Times New Roman"/>
          <w:color w:val="000000"/>
        </w:rPr>
        <w:t xml:space="preserve">. </w:t>
      </w:r>
    </w:p>
    <w:p w14:paraId="203EDE46" w14:textId="77777777" w:rsidR="00124FE1" w:rsidRPr="009D260F" w:rsidRDefault="00124FE1" w:rsidP="000F6459">
      <w:pPr>
        <w:shd w:val="clear" w:color="auto" w:fill="FFFFFF"/>
        <w:spacing w:after="0" w:line="480" w:lineRule="auto"/>
        <w:rPr>
          <w:rFonts w:eastAsia="Times New Roman"/>
          <w:b/>
          <w:bCs/>
          <w:color w:val="000000"/>
        </w:rPr>
      </w:pPr>
    </w:p>
    <w:p w14:paraId="588666A3" w14:textId="5A879A73" w:rsidR="00670023" w:rsidRPr="00AC7802" w:rsidRDefault="00670023" w:rsidP="00AC7802">
      <w:pPr>
        <w:pStyle w:val="ListParagraph"/>
        <w:numPr>
          <w:ilvl w:val="0"/>
          <w:numId w:val="33"/>
        </w:numPr>
        <w:spacing w:line="480" w:lineRule="auto"/>
      </w:pPr>
      <w:r w:rsidRPr="00AC7802">
        <w:t>Ensure registries are flexible and not built around one</w:t>
      </w:r>
      <w:r w:rsidR="006D7CDF" w:rsidRPr="00AC7802">
        <w:t xml:space="preserve"> </w:t>
      </w:r>
      <w:r w:rsidRPr="00AC7802">
        <w:t xml:space="preserve">disease hypothesis. </w:t>
      </w:r>
    </w:p>
    <w:p w14:paraId="4D6CCB71" w14:textId="1803F348" w:rsidR="006B152E" w:rsidRPr="009D260F" w:rsidRDefault="00124FE1" w:rsidP="000F6459">
      <w:pPr>
        <w:spacing w:line="480" w:lineRule="auto"/>
      </w:pPr>
      <w:r w:rsidRPr="009D260F">
        <w:lastRenderedPageBreak/>
        <w:t>Many</w:t>
      </w:r>
      <w:r w:rsidR="006B152E" w:rsidRPr="009D260F">
        <w:t xml:space="preserve"> biomarkers</w:t>
      </w:r>
      <w:r w:rsidR="00C25AE2">
        <w:t>—representing diverse disease hypotheses—</w:t>
      </w:r>
      <w:r w:rsidR="006B152E" w:rsidRPr="009D260F">
        <w:t>are currently being researched and devel</w:t>
      </w:r>
      <w:r w:rsidR="002A6B4B" w:rsidRPr="009D260F">
        <w:t xml:space="preserve">oped, and registries need to support the full scope of </w:t>
      </w:r>
      <w:r w:rsidR="0003495F">
        <w:t xml:space="preserve">these </w:t>
      </w:r>
      <w:r w:rsidR="002A6B4B" w:rsidRPr="009D260F">
        <w:t>scientific efforts</w:t>
      </w:r>
      <w:r w:rsidR="006B152E" w:rsidRPr="009D260F">
        <w:t xml:space="preserve">. For example, we need to expand the use of diagnostics that measure the APOE-4 gene, which is linked to a greater risk of Alzheimer’s; beta-amyloid, a protein that disrupts brain cell function; cerebrospinal fluid biomarkers such as the protein tau -- which is abnormally shaped in the brains of Alzheimer’s patients; and passive digital data on cognitive function, which can be measured by </w:t>
      </w:r>
      <w:r w:rsidR="0003495F">
        <w:t>mobile phone</w:t>
      </w:r>
      <w:r w:rsidR="0003495F" w:rsidRPr="009D260F">
        <w:t xml:space="preserve"> </w:t>
      </w:r>
      <w:r w:rsidR="006B152E" w:rsidRPr="009D260F">
        <w:t>apps or wearables.</w:t>
      </w:r>
    </w:p>
    <w:p w14:paraId="62B3DF1C" w14:textId="1EF2BA43" w:rsidR="002A6B4B" w:rsidRPr="009D260F" w:rsidRDefault="002875A8" w:rsidP="000F6459">
      <w:pPr>
        <w:spacing w:before="240" w:line="480" w:lineRule="auto"/>
        <w:rPr>
          <w:b/>
          <w:bCs/>
          <w:u w:val="single"/>
        </w:rPr>
      </w:pPr>
      <w:r w:rsidRPr="009D260F">
        <w:t xml:space="preserve">Digital tools </w:t>
      </w:r>
      <w:r w:rsidR="002A6B4B" w:rsidRPr="009D260F">
        <w:t>are especially helpful, as the</w:t>
      </w:r>
      <w:r w:rsidR="006D7CDF">
        <w:t>y</w:t>
      </w:r>
      <w:r w:rsidR="002A6B4B" w:rsidRPr="009D260F">
        <w:t xml:space="preserve"> allow the collection of</w:t>
      </w:r>
      <w:r w:rsidRPr="009D260F">
        <w:t xml:space="preserve"> </w:t>
      </w:r>
      <w:r w:rsidR="002A6B4B" w:rsidRPr="009D260F">
        <w:t>a wide range of</w:t>
      </w:r>
      <w:r w:rsidRPr="009D260F">
        <w:t xml:space="preserve"> data—leading to new or unexpected discoveries.  By passively collecting vast amounts of data, digital technologies can pick up on trends outside the bounds of what researchers are looking for</w:t>
      </w:r>
      <w:r w:rsidR="00F84E21">
        <w:t xml:space="preserve">, leading to discoveries that otherwise </w:t>
      </w:r>
      <w:r w:rsidRPr="009D260F">
        <w:t xml:space="preserve">would </w:t>
      </w:r>
      <w:r w:rsidR="00F84E21">
        <w:t>not have been made</w:t>
      </w:r>
      <w:r w:rsidR="0003495F">
        <w:t>.</w:t>
      </w:r>
      <w:r w:rsidR="00F84E21">
        <w:t>,</w:t>
      </w:r>
      <w:r w:rsidR="0003495F">
        <w:t xml:space="preserve"> This </w:t>
      </w:r>
      <w:r w:rsidRPr="009D260F">
        <w:t>can help</w:t>
      </w:r>
      <w:r w:rsidR="00F84E21">
        <w:t xml:space="preserve"> investigators</w:t>
      </w:r>
      <w:r w:rsidRPr="009D260F">
        <w:t xml:space="preserve"> assess the appropriateness of a given approach in the context of full data. </w:t>
      </w:r>
    </w:p>
    <w:p w14:paraId="07C2D25B" w14:textId="2852C391" w:rsidR="002875A8" w:rsidRPr="00AC7802" w:rsidRDefault="00670023" w:rsidP="00AC7802">
      <w:pPr>
        <w:pStyle w:val="ListParagraph"/>
        <w:numPr>
          <w:ilvl w:val="0"/>
          <w:numId w:val="32"/>
        </w:numPr>
        <w:spacing w:before="240" w:line="480" w:lineRule="auto"/>
        <w:rPr>
          <w:u w:val="single"/>
        </w:rPr>
      </w:pPr>
      <w:r w:rsidRPr="00AC7802">
        <w:t xml:space="preserve">Foster public trust and engagement by establishing robust legal structures that protect data privacy. </w:t>
      </w:r>
      <w:bookmarkEnd w:id="1"/>
    </w:p>
    <w:p w14:paraId="1E7CF922" w14:textId="15C397AA" w:rsidR="002875A8" w:rsidRPr="009D260F" w:rsidRDefault="002875A8" w:rsidP="000F6459">
      <w:pPr>
        <w:spacing w:line="480" w:lineRule="auto"/>
      </w:pPr>
      <w:r w:rsidRPr="009D260F">
        <w:t xml:space="preserve">Because registry data offers real-world information about </w:t>
      </w:r>
      <w:r w:rsidR="004E3A88">
        <w:t>patients</w:t>
      </w:r>
      <w:r w:rsidRPr="009D260F">
        <w:t xml:space="preserve">, structures for gaining consent and using data are critical—to meet legal obligations, ensure ethical operations, and foster public trust and engagement. Citizens are protective of their health data, and we need to show them that registries are reliable custodians of data. If we fail to do this, </w:t>
      </w:r>
      <w:r w:rsidR="00F84E21">
        <w:t>the</w:t>
      </w:r>
      <w:r w:rsidRPr="009D260F">
        <w:t xml:space="preserve"> public will be unwilling to share health information with registries</w:t>
      </w:r>
      <w:r w:rsidR="0003495F">
        <w:t>, limiting the effectiveness of registry informing scientific and policy decisions</w:t>
      </w:r>
      <w:r w:rsidR="003645AE">
        <w:t>.</w:t>
      </w:r>
    </w:p>
    <w:p w14:paraId="2BE0C5D5" w14:textId="5F9DDC9C" w:rsidR="00C209B5" w:rsidRDefault="006D7CDF" w:rsidP="000F6459">
      <w:pPr>
        <w:spacing w:line="480" w:lineRule="auto"/>
      </w:pPr>
      <w:r>
        <w:t>Information</w:t>
      </w:r>
      <w:r w:rsidR="002875A8" w:rsidRPr="009D260F">
        <w:t xml:space="preserve"> should be collected under a framework that protects data and incorporates important considerations that define when and how consent is gathered. These factors include frequency of informed consent gathering, the purpose of informed consent collection, and the specificity of informed consent. </w:t>
      </w:r>
      <w:r w:rsidR="0003495F">
        <w:t>F</w:t>
      </w:r>
      <w:r w:rsidR="002875A8" w:rsidRPr="009D260F">
        <w:t>ramework</w:t>
      </w:r>
      <w:r w:rsidR="0003495F">
        <w:t xml:space="preserve">s </w:t>
      </w:r>
      <w:r w:rsidR="002875A8" w:rsidRPr="009D260F">
        <w:t xml:space="preserve">should also ensure data safety and integrity (through technical fire walls, </w:t>
      </w:r>
      <w:r w:rsidR="002875A8" w:rsidRPr="009D260F">
        <w:lastRenderedPageBreak/>
        <w:t>encryption, data access controls etc.) where necessary</w:t>
      </w:r>
      <w:r w:rsidR="00C25AE2">
        <w:t>—</w:t>
      </w:r>
      <w:r w:rsidR="002875A8" w:rsidRPr="009D260F">
        <w:t>and open</w:t>
      </w:r>
      <w:r w:rsidR="00C25AE2">
        <w:t xml:space="preserve"> </w:t>
      </w:r>
      <w:r w:rsidR="002875A8" w:rsidRPr="009D260F">
        <w:t>access of anonymized health data whenever possible.</w:t>
      </w:r>
      <w:r w:rsidR="00C25AE2">
        <w:t xml:space="preserve"> </w:t>
      </w:r>
    </w:p>
    <w:p w14:paraId="7D6DDF98" w14:textId="40A18227" w:rsidR="004E3A88" w:rsidRDefault="004E3A88" w:rsidP="00D81E68">
      <w:pPr>
        <w:spacing w:line="480" w:lineRule="auto"/>
      </w:pPr>
      <w:r>
        <w:rPr>
          <w:rFonts w:eastAsia="Times New Roman"/>
          <w:color w:val="000000"/>
        </w:rPr>
        <w:t xml:space="preserve">Despite the progress being made in the development of Alzheimer’s registries, costs of data collection remain a barrier, often meaning long-term data goes uncollected. </w:t>
      </w:r>
      <w:r w:rsidR="003A7DF8">
        <w:rPr>
          <w:rFonts w:eastAsia="Times New Roman"/>
          <w:color w:val="000000"/>
        </w:rPr>
        <w:t>Clinical</w:t>
      </w:r>
      <w:r w:rsidR="006D7CDF" w:rsidRPr="003D26AD">
        <w:rPr>
          <w:rFonts w:eastAsia="Times New Roman"/>
          <w:color w:val="000000"/>
        </w:rPr>
        <w:t xml:space="preserve"> trials are </w:t>
      </w:r>
      <w:r w:rsidR="006D7CDF">
        <w:rPr>
          <w:rFonts w:eastAsia="Times New Roman"/>
          <w:color w:val="000000"/>
        </w:rPr>
        <w:t xml:space="preserve">historically </w:t>
      </w:r>
      <w:r w:rsidR="006D7CDF" w:rsidRPr="003D26AD">
        <w:rPr>
          <w:rFonts w:eastAsia="Times New Roman"/>
          <w:color w:val="000000"/>
        </w:rPr>
        <w:t xml:space="preserve">too short to demonstrate </w:t>
      </w:r>
      <w:r w:rsidR="006D7CDF">
        <w:rPr>
          <w:rFonts w:eastAsia="Times New Roman"/>
          <w:color w:val="000000"/>
        </w:rPr>
        <w:t xml:space="preserve">the </w:t>
      </w:r>
      <w:r w:rsidR="006D7CDF" w:rsidRPr="003D26AD">
        <w:rPr>
          <w:rFonts w:eastAsia="Times New Roman"/>
          <w:color w:val="000000"/>
        </w:rPr>
        <w:t>value of new drug</w:t>
      </w:r>
      <w:r w:rsidR="006D7CDF">
        <w:rPr>
          <w:rFonts w:eastAsia="Times New Roman"/>
          <w:color w:val="000000"/>
        </w:rPr>
        <w:t>s over an extended timespan</w:t>
      </w:r>
      <w:r>
        <w:rPr>
          <w:rFonts w:eastAsia="Times New Roman"/>
          <w:color w:val="000000"/>
        </w:rPr>
        <w:t>.</w:t>
      </w:r>
      <w:r w:rsidR="006D7CDF">
        <w:rPr>
          <w:rFonts w:eastAsia="Times New Roman"/>
          <w:color w:val="000000"/>
        </w:rPr>
        <w:t xml:space="preserve"> </w:t>
      </w:r>
      <w:r w:rsidR="00EB33FA">
        <w:rPr>
          <w:rFonts w:eastAsia="Times New Roman"/>
          <w:color w:val="000000"/>
        </w:rPr>
        <w:t>Drug</w:t>
      </w:r>
      <w:r w:rsidR="006D7CDF">
        <w:rPr>
          <w:rFonts w:eastAsia="Times New Roman"/>
          <w:color w:val="000000"/>
        </w:rPr>
        <w:t xml:space="preserve"> funds </w:t>
      </w:r>
      <w:r w:rsidR="00EB33FA">
        <w:rPr>
          <w:rFonts w:eastAsia="Times New Roman"/>
          <w:color w:val="000000"/>
        </w:rPr>
        <w:t>are one measure that could be used to</w:t>
      </w:r>
      <w:r w:rsidR="006D7CDF">
        <w:rPr>
          <w:rFonts w:eastAsia="Times New Roman"/>
          <w:color w:val="000000"/>
        </w:rPr>
        <w:t xml:space="preserve"> overcome these challenges. </w:t>
      </w:r>
      <w:r w:rsidR="006D7CDF" w:rsidRPr="006D7CDF">
        <w:t>By</w:t>
      </w:r>
      <w:r w:rsidR="006D7CDF">
        <w:t xml:space="preserve"> absorbing the costs of DMTs over an extended </w:t>
      </w:r>
      <w:r w:rsidR="003A7DF8">
        <w:t>period</w:t>
      </w:r>
      <w:r w:rsidR="006D7CDF">
        <w:t xml:space="preserve">, drug funds </w:t>
      </w:r>
      <w:r w:rsidR="00EB33FA">
        <w:t xml:space="preserve">can </w:t>
      </w:r>
      <w:r w:rsidR="006D7CDF">
        <w:t xml:space="preserve">support </w:t>
      </w:r>
      <w:r w:rsidR="006D7CDF" w:rsidRPr="00947E9F">
        <w:t>pharmacovigilance and identifying adverse events</w:t>
      </w:r>
      <w:r w:rsidR="006D7CDF">
        <w:t xml:space="preserve">, </w:t>
      </w:r>
      <w:r>
        <w:t xml:space="preserve">patient follow-up, </w:t>
      </w:r>
      <w:r w:rsidR="00EB33FA">
        <w:t xml:space="preserve">informing </w:t>
      </w:r>
      <w:r w:rsidR="006D7CDF">
        <w:t xml:space="preserve">treatment duration, and the assessment of potentially </w:t>
      </w:r>
      <w:r w:rsidR="003A7DF8">
        <w:t>useful</w:t>
      </w:r>
      <w:r w:rsidR="006D7CDF">
        <w:t xml:space="preserve"> surrogate endpoints.</w:t>
      </w:r>
    </w:p>
    <w:p w14:paraId="0F0ADCBA" w14:textId="77777777" w:rsidR="004E3A88" w:rsidRPr="004E3A88" w:rsidRDefault="004E3A88" w:rsidP="00D81E68">
      <w:pPr>
        <w:spacing w:line="480" w:lineRule="auto"/>
      </w:pPr>
    </w:p>
    <w:p w14:paraId="7A1CE626" w14:textId="4D5628F3" w:rsidR="00D81E68" w:rsidRPr="00AC7802" w:rsidRDefault="00D81E68" w:rsidP="00D81E68">
      <w:pPr>
        <w:spacing w:line="480" w:lineRule="auto"/>
        <w:rPr>
          <w:b/>
          <w:bCs/>
          <w:u w:val="single"/>
        </w:rPr>
      </w:pPr>
      <w:r w:rsidRPr="00AC7802">
        <w:rPr>
          <w:b/>
          <w:bCs/>
          <w:u w:val="single"/>
        </w:rPr>
        <w:t>Key Points</w:t>
      </w:r>
    </w:p>
    <w:p w14:paraId="41B62A21" w14:textId="77777777" w:rsidR="00D81E68" w:rsidRPr="009D260F" w:rsidRDefault="00D81E68" w:rsidP="00D81E68">
      <w:pPr>
        <w:pStyle w:val="ListParagraph"/>
        <w:numPr>
          <w:ilvl w:val="0"/>
          <w:numId w:val="27"/>
        </w:numPr>
        <w:spacing w:line="480" w:lineRule="auto"/>
      </w:pPr>
      <w:r w:rsidRPr="009D260F">
        <w:t>Optimizing the use of Alzheimer’s disease registries remains an urgent next step for European stakeholders seeking to advance new therapies and the funding models that support them. To make the most of the opportunities offered by registries, we must:</w:t>
      </w:r>
    </w:p>
    <w:p w14:paraId="047B043E" w14:textId="77777777" w:rsidR="00D81E68" w:rsidRPr="009D260F" w:rsidRDefault="00D81E68" w:rsidP="00D81E68">
      <w:pPr>
        <w:pStyle w:val="ListParagraph"/>
        <w:numPr>
          <w:ilvl w:val="1"/>
          <w:numId w:val="27"/>
        </w:numPr>
        <w:spacing w:line="480" w:lineRule="auto"/>
      </w:pPr>
      <w:r w:rsidRPr="009D260F">
        <w:t xml:space="preserve">Increase biomarker and digital phenotyping data in the registries. </w:t>
      </w:r>
    </w:p>
    <w:p w14:paraId="7E5E603D" w14:textId="77777777" w:rsidR="00D81E68" w:rsidRPr="009D260F" w:rsidRDefault="00D81E68" w:rsidP="00D81E68">
      <w:pPr>
        <w:pStyle w:val="ListParagraph"/>
        <w:numPr>
          <w:ilvl w:val="1"/>
          <w:numId w:val="27"/>
        </w:numPr>
        <w:spacing w:line="480" w:lineRule="auto"/>
      </w:pPr>
      <w:r w:rsidRPr="009D260F">
        <w:t xml:space="preserve">Ensure registries are flexible and not built around one disease hypothesis. </w:t>
      </w:r>
    </w:p>
    <w:p w14:paraId="05D58EA6" w14:textId="6850417F" w:rsidR="00AC7802" w:rsidRPr="00AC7802" w:rsidRDefault="00D81E68" w:rsidP="00AC7802">
      <w:pPr>
        <w:pStyle w:val="ListParagraph"/>
        <w:numPr>
          <w:ilvl w:val="1"/>
          <w:numId w:val="27"/>
        </w:numPr>
        <w:spacing w:line="480" w:lineRule="auto"/>
        <w:rPr>
          <w:u w:val="single"/>
        </w:rPr>
      </w:pPr>
      <w:r w:rsidRPr="003A7DF8">
        <w:t xml:space="preserve">Foster public trust and engagement by establishing robust legal structures that protect data privacy. </w:t>
      </w:r>
    </w:p>
    <w:sectPr w:rsidR="00AC7802" w:rsidRPr="00AC78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20FF" w14:textId="77777777" w:rsidR="00A070DF" w:rsidRDefault="00A070DF" w:rsidP="00D932D4">
      <w:pPr>
        <w:spacing w:after="0" w:line="240" w:lineRule="auto"/>
      </w:pPr>
      <w:r>
        <w:separator/>
      </w:r>
    </w:p>
  </w:endnote>
  <w:endnote w:type="continuationSeparator" w:id="0">
    <w:p w14:paraId="5D508107" w14:textId="77777777" w:rsidR="00A070DF" w:rsidRDefault="00A070DF" w:rsidP="00D932D4">
      <w:pPr>
        <w:spacing w:after="0" w:line="240" w:lineRule="auto"/>
      </w:pPr>
      <w:r>
        <w:continuationSeparator/>
      </w:r>
    </w:p>
  </w:endnote>
  <w:endnote w:id="1">
    <w:p w14:paraId="05B9665F" w14:textId="65C0ED9F" w:rsidR="006110F4" w:rsidRPr="000F6459" w:rsidRDefault="006110F4" w:rsidP="000F6459">
      <w:pPr>
        <w:pStyle w:val="EndnoteText"/>
        <w:spacing w:line="480" w:lineRule="auto"/>
        <w:rPr>
          <w:color w:val="000000" w:themeColor="text1"/>
          <w:sz w:val="22"/>
          <w:szCs w:val="22"/>
        </w:rPr>
      </w:pPr>
      <w:r w:rsidRPr="000F6459">
        <w:rPr>
          <w:rStyle w:val="EndnoteReference"/>
          <w:sz w:val="22"/>
          <w:szCs w:val="22"/>
        </w:rPr>
        <w:endnoteRef/>
      </w:r>
      <w:r w:rsidRPr="000F6459">
        <w:rPr>
          <w:sz w:val="22"/>
          <w:szCs w:val="22"/>
        </w:rPr>
        <w:t xml:space="preserve"> </w:t>
      </w:r>
      <w:r w:rsidR="000F6459" w:rsidRPr="000F6459">
        <w:rPr>
          <w:color w:val="000000" w:themeColor="text1"/>
          <w:sz w:val="22"/>
          <w:szCs w:val="22"/>
        </w:rPr>
        <w:t>Data Sharing in Dementia Research - The EU Landscape [Internet]. CORDIS. 2021 [cited 2021 Jun 8]. Available from: https://cordis.europa.eu/article/id/429232-alzheimer-europe-sets-out-recommendations-to-improve-data-sharing-in-dementia-research/it</w:t>
      </w:r>
    </w:p>
  </w:endnote>
  <w:endnote w:id="2">
    <w:p w14:paraId="762236A5" w14:textId="3D77C70C" w:rsidR="004E3A88" w:rsidRPr="004E3A88" w:rsidRDefault="00F84E21" w:rsidP="006F4703">
      <w:pPr>
        <w:pStyle w:val="EndnoteText"/>
        <w:spacing w:line="480" w:lineRule="auto"/>
        <w:rPr>
          <w:color w:val="000000" w:themeColor="text1"/>
          <w:sz w:val="22"/>
          <w:szCs w:val="22"/>
        </w:rPr>
      </w:pPr>
      <w:r w:rsidRPr="000F6459">
        <w:rPr>
          <w:rStyle w:val="EndnoteReference"/>
          <w:color w:val="000000" w:themeColor="text1"/>
          <w:sz w:val="22"/>
          <w:szCs w:val="22"/>
        </w:rPr>
        <w:endnoteRef/>
      </w:r>
      <w:r w:rsidRPr="000F6459">
        <w:rPr>
          <w:color w:val="000000" w:themeColor="text1"/>
          <w:sz w:val="22"/>
          <w:szCs w:val="22"/>
        </w:rPr>
        <w:t xml:space="preserve"> </w:t>
      </w:r>
      <w:r w:rsidR="001B3587" w:rsidRPr="000F6459">
        <w:rPr>
          <w:color w:val="000000" w:themeColor="text1"/>
          <w:sz w:val="22"/>
          <w:szCs w:val="22"/>
        </w:rPr>
        <w:t>Cummings J</w:t>
      </w:r>
      <w:r w:rsidR="004E3A88">
        <w:rPr>
          <w:color w:val="000000" w:themeColor="text1"/>
          <w:sz w:val="22"/>
          <w:szCs w:val="22"/>
        </w:rPr>
        <w:t xml:space="preserve">, </w:t>
      </w:r>
      <w:r w:rsidR="001B3587" w:rsidRPr="000F6459">
        <w:rPr>
          <w:color w:val="000000" w:themeColor="text1"/>
          <w:sz w:val="22"/>
          <w:szCs w:val="22"/>
        </w:rPr>
        <w:t>Lee G, Zhong K</w:t>
      </w:r>
      <w:r w:rsidR="004E3A88">
        <w:rPr>
          <w:color w:val="000000" w:themeColor="text1"/>
          <w:sz w:val="22"/>
          <w:szCs w:val="22"/>
        </w:rPr>
        <w:t>, et al</w:t>
      </w:r>
      <w:r w:rsidR="001B3587" w:rsidRPr="000F6459">
        <w:rPr>
          <w:color w:val="000000" w:themeColor="text1"/>
          <w:sz w:val="22"/>
          <w:szCs w:val="22"/>
        </w:rPr>
        <w:t>. Alzheimer's disease drug development pipeline: 202</w:t>
      </w:r>
      <w:r w:rsidR="004E3A88">
        <w:rPr>
          <w:color w:val="000000" w:themeColor="text1"/>
          <w:sz w:val="22"/>
          <w:szCs w:val="22"/>
        </w:rPr>
        <w:t>1</w:t>
      </w:r>
      <w:r w:rsidR="001B3587" w:rsidRPr="000F6459">
        <w:rPr>
          <w:color w:val="000000" w:themeColor="text1"/>
          <w:sz w:val="22"/>
          <w:szCs w:val="22"/>
        </w:rPr>
        <w:t>. Alzheimer</w:t>
      </w:r>
      <w:r w:rsidR="004E3A88">
        <w:rPr>
          <w:color w:val="000000" w:themeColor="text1"/>
          <w:sz w:val="22"/>
          <w:szCs w:val="22"/>
        </w:rPr>
        <w:t>’</w:t>
      </w:r>
      <w:r w:rsidR="001B3587" w:rsidRPr="000F6459">
        <w:rPr>
          <w:color w:val="000000" w:themeColor="text1"/>
          <w:sz w:val="22"/>
          <w:szCs w:val="22"/>
        </w:rPr>
        <w:t>s Dement (NY). 202</w:t>
      </w:r>
      <w:r w:rsidR="004E3A88">
        <w:rPr>
          <w:color w:val="000000" w:themeColor="text1"/>
          <w:sz w:val="22"/>
          <w:szCs w:val="22"/>
        </w:rPr>
        <w:t>1</w:t>
      </w:r>
      <w:r w:rsidR="001B3587" w:rsidRPr="000F6459">
        <w:rPr>
          <w:color w:val="000000" w:themeColor="text1"/>
          <w:sz w:val="22"/>
          <w:szCs w:val="22"/>
        </w:rPr>
        <w:t xml:space="preserve"> </w:t>
      </w:r>
      <w:r w:rsidR="004E3A88">
        <w:rPr>
          <w:color w:val="000000" w:themeColor="text1"/>
          <w:sz w:val="22"/>
          <w:szCs w:val="22"/>
        </w:rPr>
        <w:t>May 25</w:t>
      </w:r>
      <w:r w:rsidR="001B3587" w:rsidRPr="000F6459">
        <w:rPr>
          <w:color w:val="000000" w:themeColor="text1"/>
          <w:sz w:val="22"/>
          <w:szCs w:val="22"/>
        </w:rPr>
        <w:t>;</w:t>
      </w:r>
      <w:r w:rsidR="004E3A88">
        <w:rPr>
          <w:color w:val="000000" w:themeColor="text1"/>
          <w:sz w:val="22"/>
          <w:szCs w:val="22"/>
        </w:rPr>
        <w:t>7</w:t>
      </w:r>
      <w:r w:rsidR="001B3587" w:rsidRPr="000F6459">
        <w:rPr>
          <w:color w:val="000000" w:themeColor="text1"/>
          <w:sz w:val="22"/>
          <w:szCs w:val="22"/>
        </w:rPr>
        <w:t>(1</w:t>
      </w:r>
      <w:proofErr w:type="gramStart"/>
      <w:r w:rsidR="001B3587" w:rsidRPr="000F6459">
        <w:rPr>
          <w:color w:val="000000" w:themeColor="text1"/>
          <w:sz w:val="22"/>
          <w:szCs w:val="22"/>
        </w:rPr>
        <w:t>):e</w:t>
      </w:r>
      <w:proofErr w:type="gramEnd"/>
      <w:r w:rsidR="001B3587" w:rsidRPr="000F6459">
        <w:rPr>
          <w:color w:val="000000" w:themeColor="text1"/>
          <w:sz w:val="22"/>
          <w:szCs w:val="22"/>
        </w:rPr>
        <w:t>12</w:t>
      </w:r>
      <w:r w:rsidR="004E3A88">
        <w:rPr>
          <w:color w:val="000000" w:themeColor="text1"/>
          <w:sz w:val="22"/>
          <w:szCs w:val="22"/>
        </w:rPr>
        <w:t>179</w:t>
      </w:r>
      <w:r w:rsidR="001B3587" w:rsidRPr="000F6459">
        <w:rPr>
          <w:color w:val="000000" w:themeColor="text1"/>
          <w:sz w:val="22"/>
          <w:szCs w:val="22"/>
        </w:rPr>
        <w:t xml:space="preserve">. </w:t>
      </w:r>
      <w:proofErr w:type="spellStart"/>
      <w:r w:rsidR="001B3587" w:rsidRPr="000F6459">
        <w:rPr>
          <w:color w:val="000000" w:themeColor="text1"/>
          <w:sz w:val="22"/>
          <w:szCs w:val="22"/>
        </w:rPr>
        <w:t>doi</w:t>
      </w:r>
      <w:proofErr w:type="spellEnd"/>
      <w:r w:rsidR="001B3587" w:rsidRPr="000F6459">
        <w:rPr>
          <w:color w:val="000000" w:themeColor="text1"/>
          <w:sz w:val="22"/>
          <w:szCs w:val="22"/>
        </w:rPr>
        <w:t>: 10.1002/trc2.12</w:t>
      </w:r>
      <w:r w:rsidR="004E3A88">
        <w:rPr>
          <w:color w:val="000000" w:themeColor="text1"/>
          <w:sz w:val="22"/>
          <w:szCs w:val="22"/>
        </w:rPr>
        <w:t>179</w:t>
      </w:r>
      <w:r w:rsidR="001B3587" w:rsidRPr="000F6459">
        <w:rPr>
          <w:color w:val="000000" w:themeColor="text1"/>
          <w:sz w:val="22"/>
          <w:szCs w:val="22"/>
        </w:rPr>
        <w:t xml:space="preserve">. </w:t>
      </w:r>
    </w:p>
  </w:endnote>
  <w:endnote w:id="3">
    <w:p w14:paraId="665E80C2" w14:textId="3475A8E4" w:rsidR="000B6F4D" w:rsidRDefault="000B6F4D" w:rsidP="006F4703">
      <w:pPr>
        <w:pStyle w:val="EndnoteText"/>
        <w:spacing w:line="480" w:lineRule="auto"/>
      </w:pPr>
      <w:r>
        <w:rPr>
          <w:rStyle w:val="EndnoteReference"/>
        </w:rPr>
        <w:endnoteRef/>
      </w:r>
      <w:r>
        <w:t xml:space="preserve"> </w:t>
      </w:r>
      <w:r w:rsidRPr="00E25A5E">
        <w:rPr>
          <w:color w:val="000000" w:themeColor="text1"/>
          <w:sz w:val="22"/>
          <w:szCs w:val="22"/>
        </w:rPr>
        <w:t>BBC News. US approves first new Alzheimer’s drug in 20 years. BBC [Internet]. 2021 Jun 7 [cited 2021 Jun 9]; Available from: https://www.bbc.com/news/health-57383763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3239" w14:textId="77777777" w:rsidR="00A070DF" w:rsidRDefault="00A070DF" w:rsidP="00D932D4">
      <w:pPr>
        <w:spacing w:after="0" w:line="240" w:lineRule="auto"/>
      </w:pPr>
      <w:r>
        <w:separator/>
      </w:r>
    </w:p>
  </w:footnote>
  <w:footnote w:type="continuationSeparator" w:id="0">
    <w:p w14:paraId="40D55968" w14:textId="77777777" w:rsidR="00A070DF" w:rsidRDefault="00A070DF" w:rsidP="00D9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CDB5" w14:textId="28F5BD28" w:rsidR="003A567A" w:rsidRDefault="009A0314">
    <w:pPr>
      <w:pStyle w:val="Header"/>
    </w:pPr>
    <w:r w:rsidRPr="009A0314">
      <w:rPr>
        <w:noProof/>
      </w:rPr>
      <w:drawing>
        <wp:anchor distT="0" distB="0" distL="114300" distR="114300" simplePos="0" relativeHeight="251660288" behindDoc="0" locked="0" layoutInCell="1" allowOverlap="1" wp14:anchorId="33D20001" wp14:editId="7A8F3C4E">
          <wp:simplePos x="0" y="0"/>
          <wp:positionH relativeFrom="column">
            <wp:posOffset>-647671</wp:posOffset>
          </wp:positionH>
          <wp:positionV relativeFrom="paragraph">
            <wp:posOffset>51435</wp:posOffset>
          </wp:positionV>
          <wp:extent cx="1179830" cy="501650"/>
          <wp:effectExtent l="0" t="0" r="1270" b="0"/>
          <wp:wrapThrough wrapText="bothSides">
            <wp:wrapPolygon edited="0">
              <wp:start x="0" y="0"/>
              <wp:lineTo x="0" y="20780"/>
              <wp:lineTo x="21391" y="20780"/>
              <wp:lineTo x="21391" y="0"/>
              <wp:lineTo x="0" y="0"/>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830" cy="501650"/>
                  </a:xfrm>
                  <a:prstGeom prst="rect">
                    <a:avLst/>
                  </a:prstGeom>
                </pic:spPr>
              </pic:pic>
            </a:graphicData>
          </a:graphic>
          <wp14:sizeRelH relativeFrom="page">
            <wp14:pctWidth>0</wp14:pctWidth>
          </wp14:sizeRelH>
          <wp14:sizeRelV relativeFrom="page">
            <wp14:pctHeight>0</wp14:pctHeight>
          </wp14:sizeRelV>
        </wp:anchor>
      </w:drawing>
    </w:r>
    <w:r w:rsidRPr="009A0314">
      <w:rPr>
        <w:noProof/>
      </w:rPr>
      <w:drawing>
        <wp:anchor distT="0" distB="0" distL="114300" distR="114300" simplePos="0" relativeHeight="251659264" behindDoc="1" locked="0" layoutInCell="1" allowOverlap="1" wp14:anchorId="428E38C1" wp14:editId="74A9F7B0">
          <wp:simplePos x="0" y="0"/>
          <wp:positionH relativeFrom="column">
            <wp:posOffset>-1116419</wp:posOffset>
          </wp:positionH>
          <wp:positionV relativeFrom="paragraph">
            <wp:posOffset>-457200</wp:posOffset>
          </wp:positionV>
          <wp:extent cx="8302207" cy="2977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bar[1].jp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8389984" cy="300860"/>
                  </a:xfrm>
                  <a:prstGeom prst="rect">
                    <a:avLst/>
                  </a:prstGeom>
                </pic:spPr>
              </pic:pic>
            </a:graphicData>
          </a:graphic>
          <wp14:sizeRelH relativeFrom="margin">
            <wp14:pctWidth>0</wp14:pctWidth>
          </wp14:sizeRelH>
          <wp14:sizeRelV relativeFrom="margin">
            <wp14:pctHeight>0</wp14:pctHeight>
          </wp14:sizeRelV>
        </wp:anchor>
      </w:drawing>
    </w:r>
  </w:p>
  <w:p w14:paraId="7666753B" w14:textId="19A8DC7B" w:rsidR="003A567A" w:rsidRDefault="003A567A">
    <w:pPr>
      <w:pStyle w:val="Header"/>
    </w:pPr>
  </w:p>
  <w:p w14:paraId="7E1F271B" w14:textId="0C2C4181" w:rsidR="003A567A" w:rsidRDefault="003A567A">
    <w:pPr>
      <w:pStyle w:val="Header"/>
    </w:pPr>
  </w:p>
  <w:p w14:paraId="18D9ADBC" w14:textId="77777777" w:rsidR="003A567A" w:rsidRDefault="003A5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3E9"/>
    <w:multiLevelType w:val="hybridMultilevel"/>
    <w:tmpl w:val="3886E91A"/>
    <w:lvl w:ilvl="0" w:tplc="373C72EC">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B7029F"/>
    <w:multiLevelType w:val="hybridMultilevel"/>
    <w:tmpl w:val="56161130"/>
    <w:lvl w:ilvl="0" w:tplc="1B5E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553AE"/>
    <w:multiLevelType w:val="hybridMultilevel"/>
    <w:tmpl w:val="0DD64548"/>
    <w:lvl w:ilvl="0" w:tplc="64E4EB6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3F1C"/>
    <w:multiLevelType w:val="hybridMultilevel"/>
    <w:tmpl w:val="BB4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00BD"/>
    <w:multiLevelType w:val="hybridMultilevel"/>
    <w:tmpl w:val="BFDE4C92"/>
    <w:lvl w:ilvl="0" w:tplc="0C16E72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82A2F7A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931F4"/>
    <w:multiLevelType w:val="hybridMultilevel"/>
    <w:tmpl w:val="91504364"/>
    <w:lvl w:ilvl="0" w:tplc="6106A86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76B84"/>
    <w:multiLevelType w:val="hybridMultilevel"/>
    <w:tmpl w:val="AACE1EFA"/>
    <w:lvl w:ilvl="0" w:tplc="BDD42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C07AF"/>
    <w:multiLevelType w:val="hybridMultilevel"/>
    <w:tmpl w:val="3BCA210C"/>
    <w:lvl w:ilvl="0" w:tplc="80F820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77406"/>
    <w:multiLevelType w:val="hybridMultilevel"/>
    <w:tmpl w:val="F33022E4"/>
    <w:lvl w:ilvl="0" w:tplc="31C26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74CBD"/>
    <w:multiLevelType w:val="hybridMultilevel"/>
    <w:tmpl w:val="687C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E57B17"/>
    <w:multiLevelType w:val="hybridMultilevel"/>
    <w:tmpl w:val="EDE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027C"/>
    <w:multiLevelType w:val="multilevel"/>
    <w:tmpl w:val="048CE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EF10AC"/>
    <w:multiLevelType w:val="hybridMultilevel"/>
    <w:tmpl w:val="B19C1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AD4978"/>
    <w:multiLevelType w:val="hybridMultilevel"/>
    <w:tmpl w:val="6E2287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D0E2F"/>
    <w:multiLevelType w:val="hybridMultilevel"/>
    <w:tmpl w:val="A82E823C"/>
    <w:lvl w:ilvl="0" w:tplc="0C16E72C">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82A2F7A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64A8F"/>
    <w:multiLevelType w:val="hybridMultilevel"/>
    <w:tmpl w:val="1FEAD930"/>
    <w:lvl w:ilvl="0" w:tplc="BDD427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540AF"/>
    <w:multiLevelType w:val="hybridMultilevel"/>
    <w:tmpl w:val="66322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E179EB"/>
    <w:multiLevelType w:val="hybridMultilevel"/>
    <w:tmpl w:val="86340490"/>
    <w:lvl w:ilvl="0" w:tplc="4C722220">
      <w:start w:val="1"/>
      <w:numFmt w:val="upperLetter"/>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8" w15:restartNumberingAfterBreak="0">
    <w:nsid w:val="525959F2"/>
    <w:multiLevelType w:val="hybridMultilevel"/>
    <w:tmpl w:val="CD2A8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F23B6"/>
    <w:multiLevelType w:val="hybridMultilevel"/>
    <w:tmpl w:val="679054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475D0"/>
    <w:multiLevelType w:val="hybridMultilevel"/>
    <w:tmpl w:val="0C0A48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2620C"/>
    <w:multiLevelType w:val="hybridMultilevel"/>
    <w:tmpl w:val="3EA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D1870"/>
    <w:multiLevelType w:val="hybridMultilevel"/>
    <w:tmpl w:val="E416B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C239B"/>
    <w:multiLevelType w:val="hybridMultilevel"/>
    <w:tmpl w:val="34E497FC"/>
    <w:lvl w:ilvl="0" w:tplc="9A8EC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903F5"/>
    <w:multiLevelType w:val="hybridMultilevel"/>
    <w:tmpl w:val="9BA8F068"/>
    <w:lvl w:ilvl="0" w:tplc="B5C872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A7D20"/>
    <w:multiLevelType w:val="hybridMultilevel"/>
    <w:tmpl w:val="356A9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35921"/>
    <w:multiLevelType w:val="hybridMultilevel"/>
    <w:tmpl w:val="2CE83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471E28"/>
    <w:multiLevelType w:val="hybridMultilevel"/>
    <w:tmpl w:val="0F242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22EF3"/>
    <w:multiLevelType w:val="hybridMultilevel"/>
    <w:tmpl w:val="C0C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2240B"/>
    <w:multiLevelType w:val="hybridMultilevel"/>
    <w:tmpl w:val="D61EB8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71FAE"/>
    <w:multiLevelType w:val="hybridMultilevel"/>
    <w:tmpl w:val="ECEA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13DFE"/>
    <w:multiLevelType w:val="hybridMultilevel"/>
    <w:tmpl w:val="B89A7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FA5309"/>
    <w:multiLevelType w:val="hybridMultilevel"/>
    <w:tmpl w:val="C6486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3C1E6C"/>
    <w:multiLevelType w:val="hybridMultilevel"/>
    <w:tmpl w:val="57F82E10"/>
    <w:lvl w:ilvl="0" w:tplc="21F89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20"/>
  </w:num>
  <w:num w:numId="5">
    <w:abstractNumId w:val="24"/>
  </w:num>
  <w:num w:numId="6">
    <w:abstractNumId w:val="11"/>
  </w:num>
  <w:num w:numId="7">
    <w:abstractNumId w:val="4"/>
  </w:num>
  <w:num w:numId="8">
    <w:abstractNumId w:val="27"/>
  </w:num>
  <w:num w:numId="9">
    <w:abstractNumId w:val="26"/>
  </w:num>
  <w:num w:numId="10">
    <w:abstractNumId w:val="22"/>
  </w:num>
  <w:num w:numId="11">
    <w:abstractNumId w:val="1"/>
  </w:num>
  <w:num w:numId="12">
    <w:abstractNumId w:val="32"/>
  </w:num>
  <w:num w:numId="13">
    <w:abstractNumId w:val="12"/>
  </w:num>
  <w:num w:numId="14">
    <w:abstractNumId w:val="3"/>
  </w:num>
  <w:num w:numId="15">
    <w:abstractNumId w:val="16"/>
  </w:num>
  <w:num w:numId="16">
    <w:abstractNumId w:val="18"/>
  </w:num>
  <w:num w:numId="17">
    <w:abstractNumId w:val="14"/>
  </w:num>
  <w:num w:numId="18">
    <w:abstractNumId w:val="13"/>
  </w:num>
  <w:num w:numId="19">
    <w:abstractNumId w:val="29"/>
  </w:num>
  <w:num w:numId="20">
    <w:abstractNumId w:val="31"/>
  </w:num>
  <w:num w:numId="21">
    <w:abstractNumId w:val="28"/>
  </w:num>
  <w:num w:numId="22">
    <w:abstractNumId w:val="30"/>
  </w:num>
  <w:num w:numId="23">
    <w:abstractNumId w:val="9"/>
  </w:num>
  <w:num w:numId="24">
    <w:abstractNumId w:val="8"/>
  </w:num>
  <w:num w:numId="25">
    <w:abstractNumId w:val="21"/>
  </w:num>
  <w:num w:numId="26">
    <w:abstractNumId w:val="17"/>
  </w:num>
  <w:num w:numId="27">
    <w:abstractNumId w:val="25"/>
  </w:num>
  <w:num w:numId="28">
    <w:abstractNumId w:val="6"/>
  </w:num>
  <w:num w:numId="29">
    <w:abstractNumId w:val="15"/>
  </w:num>
  <w:num w:numId="30">
    <w:abstractNumId w:val="19"/>
  </w:num>
  <w:num w:numId="31">
    <w:abstractNumId w:val="23"/>
  </w:num>
  <w:num w:numId="32">
    <w:abstractNumId w:val="2"/>
  </w:num>
  <w:num w:numId="33">
    <w:abstractNumId w:val="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9F"/>
    <w:rsid w:val="00004C5A"/>
    <w:rsid w:val="000067CC"/>
    <w:rsid w:val="00032932"/>
    <w:rsid w:val="000339A6"/>
    <w:rsid w:val="0003495F"/>
    <w:rsid w:val="00054855"/>
    <w:rsid w:val="00060633"/>
    <w:rsid w:val="0006344A"/>
    <w:rsid w:val="000634AA"/>
    <w:rsid w:val="000B5E58"/>
    <w:rsid w:val="000B6784"/>
    <w:rsid w:val="000B6F4D"/>
    <w:rsid w:val="000C66A4"/>
    <w:rsid w:val="000E1014"/>
    <w:rsid w:val="000F25AB"/>
    <w:rsid w:val="000F3EB2"/>
    <w:rsid w:val="000F6459"/>
    <w:rsid w:val="0010797A"/>
    <w:rsid w:val="001129FC"/>
    <w:rsid w:val="00120B70"/>
    <w:rsid w:val="00124FE1"/>
    <w:rsid w:val="00125945"/>
    <w:rsid w:val="00140B52"/>
    <w:rsid w:val="00145F42"/>
    <w:rsid w:val="001517C2"/>
    <w:rsid w:val="00166B81"/>
    <w:rsid w:val="001731A7"/>
    <w:rsid w:val="001846EE"/>
    <w:rsid w:val="001952B5"/>
    <w:rsid w:val="001A08E1"/>
    <w:rsid w:val="001A307E"/>
    <w:rsid w:val="001B3587"/>
    <w:rsid w:val="001B3BE7"/>
    <w:rsid w:val="001C13E2"/>
    <w:rsid w:val="001C1B92"/>
    <w:rsid w:val="001C2862"/>
    <w:rsid w:val="001E4451"/>
    <w:rsid w:val="00213095"/>
    <w:rsid w:val="00230F00"/>
    <w:rsid w:val="00240628"/>
    <w:rsid w:val="00241F7B"/>
    <w:rsid w:val="00247212"/>
    <w:rsid w:val="00251507"/>
    <w:rsid w:val="00252B1A"/>
    <w:rsid w:val="00253276"/>
    <w:rsid w:val="00265BDB"/>
    <w:rsid w:val="0027088C"/>
    <w:rsid w:val="00270B9D"/>
    <w:rsid w:val="00283DEF"/>
    <w:rsid w:val="002875A8"/>
    <w:rsid w:val="002A6B4B"/>
    <w:rsid w:val="002D7868"/>
    <w:rsid w:val="002F0DB7"/>
    <w:rsid w:val="002F7687"/>
    <w:rsid w:val="003050F4"/>
    <w:rsid w:val="00307944"/>
    <w:rsid w:val="00310C13"/>
    <w:rsid w:val="00320C5B"/>
    <w:rsid w:val="003339E0"/>
    <w:rsid w:val="00347A4E"/>
    <w:rsid w:val="00354397"/>
    <w:rsid w:val="003645AE"/>
    <w:rsid w:val="00375B13"/>
    <w:rsid w:val="00383986"/>
    <w:rsid w:val="00390DC1"/>
    <w:rsid w:val="003959BE"/>
    <w:rsid w:val="003A567A"/>
    <w:rsid w:val="003A7DF8"/>
    <w:rsid w:val="003C2F15"/>
    <w:rsid w:val="003C4C60"/>
    <w:rsid w:val="003D26AD"/>
    <w:rsid w:val="004071FB"/>
    <w:rsid w:val="004169F6"/>
    <w:rsid w:val="00416E7C"/>
    <w:rsid w:val="00427097"/>
    <w:rsid w:val="00444FE9"/>
    <w:rsid w:val="00454C5D"/>
    <w:rsid w:val="00482653"/>
    <w:rsid w:val="00482C6D"/>
    <w:rsid w:val="00484D02"/>
    <w:rsid w:val="004C6F78"/>
    <w:rsid w:val="004C7BC3"/>
    <w:rsid w:val="004D1D25"/>
    <w:rsid w:val="004E3A88"/>
    <w:rsid w:val="004E4190"/>
    <w:rsid w:val="005015C5"/>
    <w:rsid w:val="00512C2E"/>
    <w:rsid w:val="00521FF1"/>
    <w:rsid w:val="00536C1A"/>
    <w:rsid w:val="00536F35"/>
    <w:rsid w:val="00542B0F"/>
    <w:rsid w:val="00545BCD"/>
    <w:rsid w:val="00561A93"/>
    <w:rsid w:val="00562755"/>
    <w:rsid w:val="0058015F"/>
    <w:rsid w:val="0058378A"/>
    <w:rsid w:val="00595BC1"/>
    <w:rsid w:val="00596637"/>
    <w:rsid w:val="005B2598"/>
    <w:rsid w:val="005C69D8"/>
    <w:rsid w:val="005E0C48"/>
    <w:rsid w:val="005F46B2"/>
    <w:rsid w:val="00600852"/>
    <w:rsid w:val="006109AB"/>
    <w:rsid w:val="006110F4"/>
    <w:rsid w:val="00622B46"/>
    <w:rsid w:val="00642F4B"/>
    <w:rsid w:val="006470D9"/>
    <w:rsid w:val="00670023"/>
    <w:rsid w:val="00677E63"/>
    <w:rsid w:val="00682497"/>
    <w:rsid w:val="00682959"/>
    <w:rsid w:val="006B09A2"/>
    <w:rsid w:val="006B152E"/>
    <w:rsid w:val="006B7D7B"/>
    <w:rsid w:val="006C3C9D"/>
    <w:rsid w:val="006C5F96"/>
    <w:rsid w:val="006D0821"/>
    <w:rsid w:val="006D7CDF"/>
    <w:rsid w:val="006F0C31"/>
    <w:rsid w:val="006F338F"/>
    <w:rsid w:val="006F4703"/>
    <w:rsid w:val="00717C64"/>
    <w:rsid w:val="00735340"/>
    <w:rsid w:val="00737E09"/>
    <w:rsid w:val="007427D6"/>
    <w:rsid w:val="00767733"/>
    <w:rsid w:val="00774F8F"/>
    <w:rsid w:val="00786DC7"/>
    <w:rsid w:val="00793FFE"/>
    <w:rsid w:val="007B0205"/>
    <w:rsid w:val="007D2BC1"/>
    <w:rsid w:val="007D5323"/>
    <w:rsid w:val="007E6C4A"/>
    <w:rsid w:val="00801C8B"/>
    <w:rsid w:val="00801DD3"/>
    <w:rsid w:val="00804F08"/>
    <w:rsid w:val="00823B9B"/>
    <w:rsid w:val="00831DC4"/>
    <w:rsid w:val="00853D6F"/>
    <w:rsid w:val="00857938"/>
    <w:rsid w:val="008624C1"/>
    <w:rsid w:val="00883834"/>
    <w:rsid w:val="00886EBC"/>
    <w:rsid w:val="008A33E1"/>
    <w:rsid w:val="008A44BB"/>
    <w:rsid w:val="008B6C67"/>
    <w:rsid w:val="008D1CA6"/>
    <w:rsid w:val="008F29A1"/>
    <w:rsid w:val="009003FF"/>
    <w:rsid w:val="00903C24"/>
    <w:rsid w:val="00904B38"/>
    <w:rsid w:val="00905364"/>
    <w:rsid w:val="00906F5A"/>
    <w:rsid w:val="00925211"/>
    <w:rsid w:val="00947E9F"/>
    <w:rsid w:val="009545C1"/>
    <w:rsid w:val="009601DB"/>
    <w:rsid w:val="00965837"/>
    <w:rsid w:val="009755E8"/>
    <w:rsid w:val="009932E4"/>
    <w:rsid w:val="009A0314"/>
    <w:rsid w:val="009A0E13"/>
    <w:rsid w:val="009A105F"/>
    <w:rsid w:val="009A12F8"/>
    <w:rsid w:val="009B1638"/>
    <w:rsid w:val="009B57CE"/>
    <w:rsid w:val="009C792A"/>
    <w:rsid w:val="009D260F"/>
    <w:rsid w:val="00A070DF"/>
    <w:rsid w:val="00A1206C"/>
    <w:rsid w:val="00A17E4D"/>
    <w:rsid w:val="00A31B25"/>
    <w:rsid w:val="00A32AE5"/>
    <w:rsid w:val="00A37CBC"/>
    <w:rsid w:val="00A56A6B"/>
    <w:rsid w:val="00A714B5"/>
    <w:rsid w:val="00A75725"/>
    <w:rsid w:val="00A85919"/>
    <w:rsid w:val="00A87BCC"/>
    <w:rsid w:val="00A94635"/>
    <w:rsid w:val="00AB0D39"/>
    <w:rsid w:val="00AB5D5C"/>
    <w:rsid w:val="00AC0B86"/>
    <w:rsid w:val="00AC47EC"/>
    <w:rsid w:val="00AC705C"/>
    <w:rsid w:val="00AC7802"/>
    <w:rsid w:val="00AD7677"/>
    <w:rsid w:val="00AE180A"/>
    <w:rsid w:val="00AE1E69"/>
    <w:rsid w:val="00AF323B"/>
    <w:rsid w:val="00B120D5"/>
    <w:rsid w:val="00B22871"/>
    <w:rsid w:val="00B2638F"/>
    <w:rsid w:val="00B3515A"/>
    <w:rsid w:val="00B37AB6"/>
    <w:rsid w:val="00B55209"/>
    <w:rsid w:val="00B70C7F"/>
    <w:rsid w:val="00B70DDE"/>
    <w:rsid w:val="00B85186"/>
    <w:rsid w:val="00B970CF"/>
    <w:rsid w:val="00BB7E2D"/>
    <w:rsid w:val="00BC7A83"/>
    <w:rsid w:val="00BD1537"/>
    <w:rsid w:val="00BE1443"/>
    <w:rsid w:val="00BE7813"/>
    <w:rsid w:val="00BF64B6"/>
    <w:rsid w:val="00C02D4D"/>
    <w:rsid w:val="00C2038D"/>
    <w:rsid w:val="00C209B5"/>
    <w:rsid w:val="00C24E2D"/>
    <w:rsid w:val="00C25AE2"/>
    <w:rsid w:val="00C37BAB"/>
    <w:rsid w:val="00C46F95"/>
    <w:rsid w:val="00C53240"/>
    <w:rsid w:val="00C55FE2"/>
    <w:rsid w:val="00C75DF3"/>
    <w:rsid w:val="00C75ED1"/>
    <w:rsid w:val="00C83133"/>
    <w:rsid w:val="00C87FD2"/>
    <w:rsid w:val="00CA37CC"/>
    <w:rsid w:val="00CD4565"/>
    <w:rsid w:val="00CD563F"/>
    <w:rsid w:val="00CE53CB"/>
    <w:rsid w:val="00CF5209"/>
    <w:rsid w:val="00D0478B"/>
    <w:rsid w:val="00D2534C"/>
    <w:rsid w:val="00D26095"/>
    <w:rsid w:val="00D53FB8"/>
    <w:rsid w:val="00D749BD"/>
    <w:rsid w:val="00D81E68"/>
    <w:rsid w:val="00D932D4"/>
    <w:rsid w:val="00D975A9"/>
    <w:rsid w:val="00DA52EF"/>
    <w:rsid w:val="00DB128B"/>
    <w:rsid w:val="00DB29EA"/>
    <w:rsid w:val="00DB4E6F"/>
    <w:rsid w:val="00DC3165"/>
    <w:rsid w:val="00DC6924"/>
    <w:rsid w:val="00DE442D"/>
    <w:rsid w:val="00DE7587"/>
    <w:rsid w:val="00DF66E7"/>
    <w:rsid w:val="00E03AA5"/>
    <w:rsid w:val="00E25E2A"/>
    <w:rsid w:val="00E34D43"/>
    <w:rsid w:val="00E53EFC"/>
    <w:rsid w:val="00EA74BD"/>
    <w:rsid w:val="00EB02A5"/>
    <w:rsid w:val="00EB33FA"/>
    <w:rsid w:val="00ED2862"/>
    <w:rsid w:val="00EF6C21"/>
    <w:rsid w:val="00F26E45"/>
    <w:rsid w:val="00F50026"/>
    <w:rsid w:val="00F55F6F"/>
    <w:rsid w:val="00F57D4A"/>
    <w:rsid w:val="00F61CB5"/>
    <w:rsid w:val="00F80046"/>
    <w:rsid w:val="00F81DCD"/>
    <w:rsid w:val="00F84E21"/>
    <w:rsid w:val="00F927CD"/>
    <w:rsid w:val="00FA5ADE"/>
    <w:rsid w:val="00FC199C"/>
    <w:rsid w:val="00FC2B19"/>
    <w:rsid w:val="00FD5B14"/>
    <w:rsid w:val="00FE7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3CD3A"/>
  <w15:chartTrackingRefBased/>
  <w15:docId w15:val="{A3FA3952-8DCE-4E39-9D91-1B6560A7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E9F"/>
    <w:pPr>
      <w:ind w:left="720"/>
      <w:contextualSpacing/>
    </w:pPr>
  </w:style>
  <w:style w:type="character" w:styleId="CommentReference">
    <w:name w:val="annotation reference"/>
    <w:basedOn w:val="DefaultParagraphFont"/>
    <w:uiPriority w:val="99"/>
    <w:semiHidden/>
    <w:unhideWhenUsed/>
    <w:rsid w:val="00947E9F"/>
    <w:rPr>
      <w:sz w:val="16"/>
      <w:szCs w:val="16"/>
    </w:rPr>
  </w:style>
  <w:style w:type="paragraph" w:styleId="BalloonText">
    <w:name w:val="Balloon Text"/>
    <w:basedOn w:val="Normal"/>
    <w:link w:val="BalloonTextChar"/>
    <w:uiPriority w:val="99"/>
    <w:semiHidden/>
    <w:unhideWhenUsed/>
    <w:rsid w:val="00383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 w:type="paragraph" w:styleId="CommentText">
    <w:name w:val="annotation text"/>
    <w:basedOn w:val="Normal"/>
    <w:link w:val="CommentTextChar"/>
    <w:uiPriority w:val="99"/>
    <w:unhideWhenUsed/>
    <w:rsid w:val="006C5F96"/>
    <w:pPr>
      <w:spacing w:line="240" w:lineRule="auto"/>
    </w:pPr>
    <w:rPr>
      <w:sz w:val="20"/>
      <w:szCs w:val="20"/>
    </w:rPr>
  </w:style>
  <w:style w:type="character" w:customStyle="1" w:styleId="CommentTextChar">
    <w:name w:val="Comment Text Char"/>
    <w:basedOn w:val="DefaultParagraphFont"/>
    <w:link w:val="CommentText"/>
    <w:uiPriority w:val="99"/>
    <w:rsid w:val="006C5F96"/>
    <w:rPr>
      <w:sz w:val="20"/>
      <w:szCs w:val="20"/>
    </w:rPr>
  </w:style>
  <w:style w:type="paragraph" w:styleId="CommentSubject">
    <w:name w:val="annotation subject"/>
    <w:basedOn w:val="CommentText"/>
    <w:next w:val="CommentText"/>
    <w:link w:val="CommentSubjectChar"/>
    <w:uiPriority w:val="99"/>
    <w:semiHidden/>
    <w:unhideWhenUsed/>
    <w:rsid w:val="006C5F96"/>
    <w:rPr>
      <w:b/>
      <w:bCs/>
    </w:rPr>
  </w:style>
  <w:style w:type="character" w:customStyle="1" w:styleId="CommentSubjectChar">
    <w:name w:val="Comment Subject Char"/>
    <w:basedOn w:val="CommentTextChar"/>
    <w:link w:val="CommentSubject"/>
    <w:uiPriority w:val="99"/>
    <w:semiHidden/>
    <w:rsid w:val="006C5F96"/>
    <w:rPr>
      <w:b/>
      <w:bCs/>
      <w:sz w:val="20"/>
      <w:szCs w:val="20"/>
    </w:rPr>
  </w:style>
  <w:style w:type="paragraph" w:styleId="EndnoteText">
    <w:name w:val="endnote text"/>
    <w:basedOn w:val="Normal"/>
    <w:link w:val="EndnoteTextChar"/>
    <w:uiPriority w:val="99"/>
    <w:semiHidden/>
    <w:unhideWhenUsed/>
    <w:rsid w:val="00D932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32D4"/>
    <w:rPr>
      <w:sz w:val="20"/>
      <w:szCs w:val="20"/>
    </w:rPr>
  </w:style>
  <w:style w:type="character" w:styleId="EndnoteReference">
    <w:name w:val="endnote reference"/>
    <w:basedOn w:val="DefaultParagraphFont"/>
    <w:uiPriority w:val="99"/>
    <w:semiHidden/>
    <w:unhideWhenUsed/>
    <w:rsid w:val="00D932D4"/>
    <w:rPr>
      <w:vertAlign w:val="superscript"/>
    </w:rPr>
  </w:style>
  <w:style w:type="paragraph" w:styleId="Revision">
    <w:name w:val="Revision"/>
    <w:hidden/>
    <w:uiPriority w:val="99"/>
    <w:semiHidden/>
    <w:rsid w:val="00737E09"/>
    <w:pPr>
      <w:spacing w:after="0" w:line="240" w:lineRule="auto"/>
    </w:pPr>
  </w:style>
  <w:style w:type="paragraph" w:styleId="Header">
    <w:name w:val="header"/>
    <w:basedOn w:val="Normal"/>
    <w:link w:val="HeaderChar"/>
    <w:uiPriority w:val="99"/>
    <w:unhideWhenUsed/>
    <w:rsid w:val="009A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14"/>
  </w:style>
  <w:style w:type="paragraph" w:styleId="Footer">
    <w:name w:val="footer"/>
    <w:basedOn w:val="Normal"/>
    <w:link w:val="FooterChar"/>
    <w:uiPriority w:val="99"/>
    <w:unhideWhenUsed/>
    <w:rsid w:val="009A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14"/>
  </w:style>
  <w:style w:type="character" w:styleId="Hyperlink">
    <w:name w:val="Hyperlink"/>
    <w:basedOn w:val="DefaultParagraphFont"/>
    <w:uiPriority w:val="99"/>
    <w:unhideWhenUsed/>
    <w:rsid w:val="001A307E"/>
    <w:rPr>
      <w:color w:val="0563C1" w:themeColor="hyperlink"/>
      <w:u w:val="single"/>
    </w:rPr>
  </w:style>
  <w:style w:type="character" w:styleId="UnresolvedMention">
    <w:name w:val="Unresolved Mention"/>
    <w:basedOn w:val="DefaultParagraphFont"/>
    <w:uiPriority w:val="99"/>
    <w:semiHidden/>
    <w:unhideWhenUsed/>
    <w:rsid w:val="001A307E"/>
    <w:rPr>
      <w:color w:val="605E5C"/>
      <w:shd w:val="clear" w:color="auto" w:fill="E1DFDD"/>
    </w:rPr>
  </w:style>
  <w:style w:type="character" w:styleId="FollowedHyperlink">
    <w:name w:val="FollowedHyperlink"/>
    <w:basedOn w:val="DefaultParagraphFont"/>
    <w:uiPriority w:val="99"/>
    <w:semiHidden/>
    <w:unhideWhenUsed/>
    <w:rsid w:val="000B5E58"/>
    <w:rPr>
      <w:color w:val="954F72" w:themeColor="followedHyperlink"/>
      <w:u w:val="single"/>
    </w:rPr>
  </w:style>
  <w:style w:type="character" w:customStyle="1" w:styleId="author">
    <w:name w:val="author"/>
    <w:basedOn w:val="DefaultParagraphFont"/>
    <w:rsid w:val="004E3A88"/>
  </w:style>
  <w:style w:type="character" w:customStyle="1" w:styleId="apple-converted-space">
    <w:name w:val="apple-converted-space"/>
    <w:basedOn w:val="DefaultParagraphFont"/>
    <w:rsid w:val="004E3A88"/>
  </w:style>
  <w:style w:type="character" w:customStyle="1" w:styleId="articletitle">
    <w:name w:val="articletitle"/>
    <w:basedOn w:val="DefaultParagraphFont"/>
    <w:rsid w:val="004E3A88"/>
  </w:style>
  <w:style w:type="character" w:customStyle="1" w:styleId="pubyear">
    <w:name w:val="pubyear"/>
    <w:basedOn w:val="DefaultParagraphFont"/>
    <w:rsid w:val="004E3A88"/>
  </w:style>
  <w:style w:type="character" w:customStyle="1" w:styleId="vol">
    <w:name w:val="vol"/>
    <w:basedOn w:val="DefaultParagraphFont"/>
    <w:rsid w:val="004E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761">
      <w:bodyDiv w:val="1"/>
      <w:marLeft w:val="0"/>
      <w:marRight w:val="0"/>
      <w:marTop w:val="0"/>
      <w:marBottom w:val="0"/>
      <w:divBdr>
        <w:top w:val="none" w:sz="0" w:space="0" w:color="auto"/>
        <w:left w:val="none" w:sz="0" w:space="0" w:color="auto"/>
        <w:bottom w:val="none" w:sz="0" w:space="0" w:color="auto"/>
        <w:right w:val="none" w:sz="0" w:space="0" w:color="auto"/>
      </w:divBdr>
      <w:divsChild>
        <w:div w:id="59286347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40641373">
      <w:bodyDiv w:val="1"/>
      <w:marLeft w:val="0"/>
      <w:marRight w:val="0"/>
      <w:marTop w:val="0"/>
      <w:marBottom w:val="0"/>
      <w:divBdr>
        <w:top w:val="none" w:sz="0" w:space="0" w:color="auto"/>
        <w:left w:val="none" w:sz="0" w:space="0" w:color="auto"/>
        <w:bottom w:val="none" w:sz="0" w:space="0" w:color="auto"/>
        <w:right w:val="none" w:sz="0" w:space="0" w:color="auto"/>
      </w:divBdr>
      <w:divsChild>
        <w:div w:id="192842160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07219771">
      <w:bodyDiv w:val="1"/>
      <w:marLeft w:val="0"/>
      <w:marRight w:val="0"/>
      <w:marTop w:val="0"/>
      <w:marBottom w:val="0"/>
      <w:divBdr>
        <w:top w:val="none" w:sz="0" w:space="0" w:color="auto"/>
        <w:left w:val="none" w:sz="0" w:space="0" w:color="auto"/>
        <w:bottom w:val="none" w:sz="0" w:space="0" w:color="auto"/>
        <w:right w:val="none" w:sz="0" w:space="0" w:color="auto"/>
      </w:divBdr>
    </w:div>
    <w:div w:id="861675637">
      <w:bodyDiv w:val="1"/>
      <w:marLeft w:val="0"/>
      <w:marRight w:val="0"/>
      <w:marTop w:val="0"/>
      <w:marBottom w:val="0"/>
      <w:divBdr>
        <w:top w:val="none" w:sz="0" w:space="0" w:color="auto"/>
        <w:left w:val="none" w:sz="0" w:space="0" w:color="auto"/>
        <w:bottom w:val="none" w:sz="0" w:space="0" w:color="auto"/>
        <w:right w:val="none" w:sz="0" w:space="0" w:color="auto"/>
      </w:divBdr>
      <w:divsChild>
        <w:div w:id="58708100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68327459">
      <w:bodyDiv w:val="1"/>
      <w:marLeft w:val="0"/>
      <w:marRight w:val="0"/>
      <w:marTop w:val="0"/>
      <w:marBottom w:val="0"/>
      <w:divBdr>
        <w:top w:val="none" w:sz="0" w:space="0" w:color="auto"/>
        <w:left w:val="none" w:sz="0" w:space="0" w:color="auto"/>
        <w:bottom w:val="none" w:sz="0" w:space="0" w:color="auto"/>
        <w:right w:val="none" w:sz="0" w:space="0" w:color="auto"/>
      </w:divBdr>
    </w:div>
    <w:div w:id="1259019379">
      <w:bodyDiv w:val="1"/>
      <w:marLeft w:val="0"/>
      <w:marRight w:val="0"/>
      <w:marTop w:val="0"/>
      <w:marBottom w:val="0"/>
      <w:divBdr>
        <w:top w:val="none" w:sz="0" w:space="0" w:color="auto"/>
        <w:left w:val="none" w:sz="0" w:space="0" w:color="auto"/>
        <w:bottom w:val="none" w:sz="0" w:space="0" w:color="auto"/>
        <w:right w:val="none" w:sz="0" w:space="0" w:color="auto"/>
      </w:divBdr>
      <w:divsChild>
        <w:div w:id="170289635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84771728">
      <w:bodyDiv w:val="1"/>
      <w:marLeft w:val="0"/>
      <w:marRight w:val="0"/>
      <w:marTop w:val="0"/>
      <w:marBottom w:val="0"/>
      <w:divBdr>
        <w:top w:val="none" w:sz="0" w:space="0" w:color="auto"/>
        <w:left w:val="none" w:sz="0" w:space="0" w:color="auto"/>
        <w:bottom w:val="none" w:sz="0" w:space="0" w:color="auto"/>
        <w:right w:val="none" w:sz="0" w:space="0" w:color="auto"/>
      </w:divBdr>
      <w:divsChild>
        <w:div w:id="980230178">
          <w:marLeft w:val="0"/>
          <w:marRight w:val="0"/>
          <w:marTop w:val="0"/>
          <w:marBottom w:val="0"/>
          <w:divBdr>
            <w:top w:val="none" w:sz="0" w:space="0" w:color="auto"/>
            <w:left w:val="none" w:sz="0" w:space="0" w:color="auto"/>
            <w:bottom w:val="none" w:sz="0" w:space="0" w:color="auto"/>
            <w:right w:val="none" w:sz="0" w:space="0" w:color="auto"/>
          </w:divBdr>
        </w:div>
        <w:div w:id="1018652688">
          <w:marLeft w:val="0"/>
          <w:marRight w:val="0"/>
          <w:marTop w:val="0"/>
          <w:marBottom w:val="0"/>
          <w:divBdr>
            <w:top w:val="none" w:sz="0" w:space="0" w:color="auto"/>
            <w:left w:val="none" w:sz="0" w:space="0" w:color="auto"/>
            <w:bottom w:val="none" w:sz="0" w:space="0" w:color="auto"/>
            <w:right w:val="none" w:sz="0" w:space="0" w:color="auto"/>
          </w:divBdr>
        </w:div>
      </w:divsChild>
    </w:div>
    <w:div w:id="1655795314">
      <w:bodyDiv w:val="1"/>
      <w:marLeft w:val="0"/>
      <w:marRight w:val="0"/>
      <w:marTop w:val="0"/>
      <w:marBottom w:val="0"/>
      <w:divBdr>
        <w:top w:val="none" w:sz="0" w:space="0" w:color="auto"/>
        <w:left w:val="none" w:sz="0" w:space="0" w:color="auto"/>
        <w:bottom w:val="none" w:sz="0" w:space="0" w:color="auto"/>
        <w:right w:val="none" w:sz="0" w:space="0" w:color="auto"/>
      </w:divBdr>
    </w:div>
    <w:div w:id="1782799831">
      <w:bodyDiv w:val="1"/>
      <w:marLeft w:val="0"/>
      <w:marRight w:val="0"/>
      <w:marTop w:val="0"/>
      <w:marBottom w:val="0"/>
      <w:divBdr>
        <w:top w:val="none" w:sz="0" w:space="0" w:color="auto"/>
        <w:left w:val="none" w:sz="0" w:space="0" w:color="auto"/>
        <w:bottom w:val="none" w:sz="0" w:space="0" w:color="auto"/>
        <w:right w:val="none" w:sz="0" w:space="0" w:color="auto"/>
      </w:divBdr>
      <w:divsChild>
        <w:div w:id="1892955545">
          <w:marLeft w:val="0"/>
          <w:marRight w:val="0"/>
          <w:marTop w:val="0"/>
          <w:marBottom w:val="0"/>
          <w:divBdr>
            <w:top w:val="none" w:sz="0" w:space="0" w:color="auto"/>
            <w:left w:val="none" w:sz="0" w:space="0" w:color="auto"/>
            <w:bottom w:val="none" w:sz="0" w:space="0" w:color="auto"/>
            <w:right w:val="none" w:sz="0" w:space="0" w:color="auto"/>
          </w:divBdr>
        </w:div>
      </w:divsChild>
    </w:div>
    <w:div w:id="1950772518">
      <w:bodyDiv w:val="1"/>
      <w:marLeft w:val="0"/>
      <w:marRight w:val="0"/>
      <w:marTop w:val="0"/>
      <w:marBottom w:val="0"/>
      <w:divBdr>
        <w:top w:val="none" w:sz="0" w:space="0" w:color="auto"/>
        <w:left w:val="none" w:sz="0" w:space="0" w:color="auto"/>
        <w:bottom w:val="none" w:sz="0" w:space="0" w:color="auto"/>
        <w:right w:val="none" w:sz="0" w:space="0" w:color="auto"/>
      </w:divBdr>
      <w:divsChild>
        <w:div w:id="1961570669">
          <w:marLeft w:val="0"/>
          <w:marRight w:val="0"/>
          <w:marTop w:val="0"/>
          <w:marBottom w:val="0"/>
          <w:divBdr>
            <w:top w:val="none" w:sz="0" w:space="0" w:color="auto"/>
            <w:left w:val="none" w:sz="0" w:space="0" w:color="auto"/>
            <w:bottom w:val="none" w:sz="0" w:space="0" w:color="auto"/>
            <w:right w:val="none" w:sz="0" w:space="0" w:color="auto"/>
          </w:divBdr>
        </w:div>
      </w:divsChild>
    </w:div>
    <w:div w:id="2022469718">
      <w:bodyDiv w:val="1"/>
      <w:marLeft w:val="0"/>
      <w:marRight w:val="0"/>
      <w:marTop w:val="0"/>
      <w:marBottom w:val="0"/>
      <w:divBdr>
        <w:top w:val="none" w:sz="0" w:space="0" w:color="auto"/>
        <w:left w:val="none" w:sz="0" w:space="0" w:color="auto"/>
        <w:bottom w:val="none" w:sz="0" w:space="0" w:color="auto"/>
        <w:right w:val="none" w:sz="0" w:space="0" w:color="auto"/>
      </w:divBdr>
      <w:divsChild>
        <w:div w:id="1637638711">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79C3-F569-4CBD-8135-616BF22D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Sullivan</dc:creator>
  <cp:keywords/>
  <dc:description/>
  <cp:lastModifiedBy>Olivia LeSueur</cp:lastModifiedBy>
  <cp:revision>3</cp:revision>
  <cp:lastPrinted>2021-06-09T11:51:00Z</cp:lastPrinted>
  <dcterms:created xsi:type="dcterms:W3CDTF">2022-03-16T23:44:00Z</dcterms:created>
  <dcterms:modified xsi:type="dcterms:W3CDTF">2022-03-16T23:46:00Z</dcterms:modified>
</cp:coreProperties>
</file>